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9E252" w14:textId="77777777" w:rsidR="007C3CFD" w:rsidRDefault="007C3CFD">
      <w:pPr>
        <w:pStyle w:val="TableofContentsTitle"/>
      </w:pPr>
      <w:r>
        <w:t>TABLE OF CONTENTS</w:t>
      </w:r>
    </w:p>
    <w:p w14:paraId="2149E253" w14:textId="77777777" w:rsidR="007C3CFD" w:rsidRDefault="00B01CE7">
      <w:pPr>
        <w:pStyle w:val="TOC1"/>
        <w:tabs>
          <w:tab w:val="left" w:pos="810"/>
          <w:tab w:val="right" w:leader="dot" w:pos="9350"/>
        </w:tabs>
        <w:rPr>
          <w:caps w:val="0"/>
          <w:noProof/>
          <w:sz w:val="24"/>
          <w:szCs w:val="24"/>
          <w:lang w:eastAsia="ja-JP"/>
        </w:rPr>
      </w:pPr>
      <w:r>
        <w:fldChar w:fldCharType="begin"/>
      </w:r>
      <w:r w:rsidR="007C3CFD">
        <w:instrText xml:space="preserve"> TOC \o "2-2" \h \z \t "Heading 1,1,Appendix Heading,1,ANNEX-heading1,2" </w:instrText>
      </w:r>
      <w:r>
        <w:fldChar w:fldCharType="separate"/>
      </w:r>
      <w:hyperlink w:anchor="_Toc319425027" w:history="1">
        <w:r w:rsidR="007C3CFD" w:rsidRPr="00652232">
          <w:rPr>
            <w:rStyle w:val="Hyperlink"/>
            <w:noProof/>
          </w:rPr>
          <w:t>1.0</w:t>
        </w:r>
        <w:r w:rsidR="007C3CFD">
          <w:rPr>
            <w:caps w:val="0"/>
            <w:noProof/>
            <w:sz w:val="24"/>
            <w:szCs w:val="24"/>
            <w:lang w:eastAsia="ja-JP"/>
          </w:rPr>
          <w:tab/>
        </w:r>
        <w:r w:rsidR="007C3CFD" w:rsidRPr="00652232">
          <w:rPr>
            <w:rStyle w:val="Hyperlink"/>
            <w:noProof/>
          </w:rPr>
          <w:t>PURPOSE</w:t>
        </w:r>
        <w:r w:rsidR="007C3CFD">
          <w:rPr>
            <w:noProof/>
            <w:webHidden/>
          </w:rPr>
          <w:tab/>
        </w:r>
        <w:r>
          <w:rPr>
            <w:noProof/>
            <w:webHidden/>
          </w:rPr>
          <w:fldChar w:fldCharType="begin"/>
        </w:r>
        <w:r w:rsidR="007C3CFD">
          <w:rPr>
            <w:noProof/>
            <w:webHidden/>
          </w:rPr>
          <w:instrText xml:space="preserve"> PAGEREF _Toc319425027 \h </w:instrText>
        </w:r>
        <w:r>
          <w:rPr>
            <w:noProof/>
            <w:webHidden/>
          </w:rPr>
        </w:r>
        <w:r>
          <w:rPr>
            <w:noProof/>
            <w:webHidden/>
          </w:rPr>
          <w:fldChar w:fldCharType="separate"/>
        </w:r>
        <w:r w:rsidR="007C3CFD">
          <w:rPr>
            <w:noProof/>
            <w:webHidden/>
          </w:rPr>
          <w:t>1</w:t>
        </w:r>
        <w:r>
          <w:rPr>
            <w:noProof/>
            <w:webHidden/>
          </w:rPr>
          <w:fldChar w:fldCharType="end"/>
        </w:r>
      </w:hyperlink>
    </w:p>
    <w:p w14:paraId="2149E254" w14:textId="77777777" w:rsidR="007C3CFD" w:rsidRDefault="002F46AB">
      <w:pPr>
        <w:pStyle w:val="TOC1"/>
        <w:tabs>
          <w:tab w:val="left" w:pos="810"/>
          <w:tab w:val="right" w:leader="dot" w:pos="9350"/>
        </w:tabs>
        <w:rPr>
          <w:caps w:val="0"/>
          <w:noProof/>
          <w:sz w:val="24"/>
          <w:szCs w:val="24"/>
          <w:lang w:eastAsia="ja-JP"/>
        </w:rPr>
      </w:pPr>
      <w:hyperlink w:anchor="_Toc319425028" w:history="1">
        <w:r w:rsidR="007C3CFD" w:rsidRPr="00652232">
          <w:rPr>
            <w:rStyle w:val="Hyperlink"/>
            <w:noProof/>
          </w:rPr>
          <w:t>2.0</w:t>
        </w:r>
        <w:r w:rsidR="007C3CFD">
          <w:rPr>
            <w:caps w:val="0"/>
            <w:noProof/>
            <w:sz w:val="24"/>
            <w:szCs w:val="24"/>
            <w:lang w:eastAsia="ja-JP"/>
          </w:rPr>
          <w:tab/>
        </w:r>
        <w:r w:rsidR="007C3CFD" w:rsidRPr="00652232">
          <w:rPr>
            <w:rStyle w:val="Hyperlink"/>
            <w:noProof/>
          </w:rPr>
          <w:t>SCOPE</w:t>
        </w:r>
        <w:r w:rsidR="007C3CFD">
          <w:rPr>
            <w:noProof/>
            <w:webHidden/>
          </w:rPr>
          <w:tab/>
        </w:r>
        <w:r w:rsidR="00B01CE7">
          <w:rPr>
            <w:noProof/>
            <w:webHidden/>
          </w:rPr>
          <w:fldChar w:fldCharType="begin"/>
        </w:r>
        <w:r w:rsidR="007C3CFD">
          <w:rPr>
            <w:noProof/>
            <w:webHidden/>
          </w:rPr>
          <w:instrText xml:space="preserve"> PAGEREF _Toc319425028 \h </w:instrText>
        </w:r>
        <w:r w:rsidR="00B01CE7">
          <w:rPr>
            <w:noProof/>
            <w:webHidden/>
          </w:rPr>
        </w:r>
        <w:r w:rsidR="00B01CE7">
          <w:rPr>
            <w:noProof/>
            <w:webHidden/>
          </w:rPr>
          <w:fldChar w:fldCharType="separate"/>
        </w:r>
        <w:r w:rsidR="007C3CFD">
          <w:rPr>
            <w:noProof/>
            <w:webHidden/>
          </w:rPr>
          <w:t>1</w:t>
        </w:r>
        <w:r w:rsidR="00B01CE7">
          <w:rPr>
            <w:noProof/>
            <w:webHidden/>
          </w:rPr>
          <w:fldChar w:fldCharType="end"/>
        </w:r>
      </w:hyperlink>
    </w:p>
    <w:p w14:paraId="2149E255" w14:textId="77777777" w:rsidR="007C3CFD" w:rsidRDefault="002F46AB">
      <w:pPr>
        <w:pStyle w:val="TOC1"/>
        <w:tabs>
          <w:tab w:val="left" w:pos="810"/>
          <w:tab w:val="right" w:leader="dot" w:pos="9350"/>
        </w:tabs>
        <w:rPr>
          <w:caps w:val="0"/>
          <w:noProof/>
          <w:sz w:val="24"/>
          <w:szCs w:val="24"/>
          <w:lang w:eastAsia="ja-JP"/>
        </w:rPr>
      </w:pPr>
      <w:hyperlink w:anchor="_Toc319425029" w:history="1">
        <w:r w:rsidR="007C3CFD" w:rsidRPr="00652232">
          <w:rPr>
            <w:rStyle w:val="Hyperlink"/>
            <w:noProof/>
          </w:rPr>
          <w:t>3.0</w:t>
        </w:r>
        <w:r w:rsidR="007C3CFD">
          <w:rPr>
            <w:caps w:val="0"/>
            <w:noProof/>
            <w:sz w:val="24"/>
            <w:szCs w:val="24"/>
            <w:lang w:eastAsia="ja-JP"/>
          </w:rPr>
          <w:tab/>
        </w:r>
        <w:r w:rsidR="007C3CFD" w:rsidRPr="00652232">
          <w:rPr>
            <w:rStyle w:val="Hyperlink"/>
            <w:noProof/>
          </w:rPr>
          <w:t>reference documents</w:t>
        </w:r>
        <w:r w:rsidR="007C3CFD">
          <w:rPr>
            <w:noProof/>
            <w:webHidden/>
          </w:rPr>
          <w:tab/>
        </w:r>
        <w:r w:rsidR="00B01CE7">
          <w:rPr>
            <w:noProof/>
            <w:webHidden/>
          </w:rPr>
          <w:fldChar w:fldCharType="begin"/>
        </w:r>
        <w:r w:rsidR="007C3CFD">
          <w:rPr>
            <w:noProof/>
            <w:webHidden/>
          </w:rPr>
          <w:instrText xml:space="preserve"> PAGEREF _Toc319425029 \h </w:instrText>
        </w:r>
        <w:r w:rsidR="00B01CE7">
          <w:rPr>
            <w:noProof/>
            <w:webHidden/>
          </w:rPr>
        </w:r>
        <w:r w:rsidR="00B01CE7">
          <w:rPr>
            <w:noProof/>
            <w:webHidden/>
          </w:rPr>
          <w:fldChar w:fldCharType="separate"/>
        </w:r>
        <w:r w:rsidR="007C3CFD">
          <w:rPr>
            <w:noProof/>
            <w:webHidden/>
          </w:rPr>
          <w:t>1</w:t>
        </w:r>
        <w:r w:rsidR="00B01CE7">
          <w:rPr>
            <w:noProof/>
            <w:webHidden/>
          </w:rPr>
          <w:fldChar w:fldCharType="end"/>
        </w:r>
      </w:hyperlink>
    </w:p>
    <w:p w14:paraId="2149E256" w14:textId="77777777" w:rsidR="007C3CFD" w:rsidRDefault="002F46AB">
      <w:pPr>
        <w:pStyle w:val="TOC2"/>
        <w:rPr>
          <w:noProof/>
          <w:sz w:val="24"/>
          <w:szCs w:val="24"/>
          <w:lang w:eastAsia="ja-JP"/>
        </w:rPr>
      </w:pPr>
      <w:hyperlink w:anchor="_Toc319425030" w:history="1">
        <w:r w:rsidR="007C3CFD" w:rsidRPr="00652232">
          <w:rPr>
            <w:rStyle w:val="Hyperlink"/>
            <w:noProof/>
          </w:rPr>
          <w:t>3.1</w:t>
        </w:r>
        <w:r w:rsidR="007C3CFD">
          <w:rPr>
            <w:noProof/>
            <w:sz w:val="24"/>
            <w:szCs w:val="24"/>
            <w:lang w:eastAsia="ja-JP"/>
          </w:rPr>
          <w:tab/>
        </w:r>
        <w:r w:rsidR="007C3CFD" w:rsidRPr="00652232">
          <w:rPr>
            <w:rStyle w:val="Hyperlink"/>
            <w:noProof/>
          </w:rPr>
          <w:t>TI Standard Policy and Procedure (SP&amp;P) 04-04-01: "Environmental, Health and Safety"</w:t>
        </w:r>
        <w:r w:rsidR="007C3CFD">
          <w:rPr>
            <w:noProof/>
            <w:webHidden/>
          </w:rPr>
          <w:tab/>
        </w:r>
        <w:r w:rsidR="00B01CE7">
          <w:rPr>
            <w:noProof/>
            <w:webHidden/>
          </w:rPr>
          <w:fldChar w:fldCharType="begin"/>
        </w:r>
        <w:r w:rsidR="007C3CFD">
          <w:rPr>
            <w:noProof/>
            <w:webHidden/>
          </w:rPr>
          <w:instrText xml:space="preserve"> PAGEREF _Toc319425030 \h </w:instrText>
        </w:r>
        <w:r w:rsidR="00B01CE7">
          <w:rPr>
            <w:noProof/>
            <w:webHidden/>
          </w:rPr>
        </w:r>
        <w:r w:rsidR="00B01CE7">
          <w:rPr>
            <w:noProof/>
            <w:webHidden/>
          </w:rPr>
          <w:fldChar w:fldCharType="separate"/>
        </w:r>
        <w:r w:rsidR="007C3CFD">
          <w:rPr>
            <w:noProof/>
            <w:webHidden/>
          </w:rPr>
          <w:t>1</w:t>
        </w:r>
        <w:r w:rsidR="00B01CE7">
          <w:rPr>
            <w:noProof/>
            <w:webHidden/>
          </w:rPr>
          <w:fldChar w:fldCharType="end"/>
        </w:r>
      </w:hyperlink>
    </w:p>
    <w:p w14:paraId="2149E257" w14:textId="77777777" w:rsidR="007C3CFD" w:rsidRDefault="002F46AB">
      <w:pPr>
        <w:pStyle w:val="TOC2"/>
        <w:rPr>
          <w:noProof/>
          <w:sz w:val="24"/>
          <w:szCs w:val="24"/>
          <w:lang w:eastAsia="ja-JP"/>
        </w:rPr>
      </w:pPr>
      <w:hyperlink w:anchor="_Toc319425032" w:history="1">
        <w:r w:rsidR="007C3CFD" w:rsidRPr="00652232">
          <w:rPr>
            <w:rStyle w:val="Hyperlink"/>
            <w:noProof/>
          </w:rPr>
          <w:t>3.3</w:t>
        </w:r>
        <w:r w:rsidR="007C3CFD">
          <w:rPr>
            <w:noProof/>
            <w:sz w:val="24"/>
            <w:szCs w:val="24"/>
            <w:lang w:eastAsia="ja-JP"/>
          </w:rPr>
          <w:tab/>
        </w:r>
        <w:r w:rsidR="007C3CFD" w:rsidRPr="00652232">
          <w:rPr>
            <w:rStyle w:val="Hyperlink"/>
            <w:noProof/>
          </w:rPr>
          <w:t>TI ESH Standard 03.01, “</w:t>
        </w:r>
        <w:r w:rsidR="007C3CFD" w:rsidRPr="00652232">
          <w:rPr>
            <w:rStyle w:val="Hyperlink"/>
            <w:caps/>
            <w:noProof/>
          </w:rPr>
          <w:t>Hazardous Chemicals And Materials</w:t>
        </w:r>
        <w:r w:rsidR="007C3CFD" w:rsidRPr="00652232">
          <w:rPr>
            <w:rStyle w:val="Hyperlink"/>
            <w:noProof/>
          </w:rPr>
          <w:t>”</w:t>
        </w:r>
        <w:r w:rsidR="007C3CFD">
          <w:rPr>
            <w:noProof/>
            <w:webHidden/>
          </w:rPr>
          <w:tab/>
        </w:r>
        <w:r w:rsidR="00B01CE7">
          <w:rPr>
            <w:noProof/>
            <w:webHidden/>
          </w:rPr>
          <w:fldChar w:fldCharType="begin"/>
        </w:r>
        <w:r w:rsidR="007C3CFD">
          <w:rPr>
            <w:noProof/>
            <w:webHidden/>
          </w:rPr>
          <w:instrText xml:space="preserve"> PAGEREF _Toc319425032 \h </w:instrText>
        </w:r>
        <w:r w:rsidR="00B01CE7">
          <w:rPr>
            <w:noProof/>
            <w:webHidden/>
          </w:rPr>
        </w:r>
        <w:r w:rsidR="00B01CE7">
          <w:rPr>
            <w:noProof/>
            <w:webHidden/>
          </w:rPr>
          <w:fldChar w:fldCharType="separate"/>
        </w:r>
        <w:r w:rsidR="007C3CFD">
          <w:rPr>
            <w:noProof/>
            <w:webHidden/>
          </w:rPr>
          <w:t>1</w:t>
        </w:r>
        <w:r w:rsidR="00B01CE7">
          <w:rPr>
            <w:noProof/>
            <w:webHidden/>
          </w:rPr>
          <w:fldChar w:fldCharType="end"/>
        </w:r>
      </w:hyperlink>
    </w:p>
    <w:p w14:paraId="2149E258" w14:textId="77777777" w:rsidR="007C3CFD" w:rsidRDefault="002F46AB">
      <w:pPr>
        <w:pStyle w:val="TOC2"/>
        <w:rPr>
          <w:noProof/>
          <w:sz w:val="24"/>
          <w:szCs w:val="24"/>
          <w:lang w:eastAsia="ja-JP"/>
        </w:rPr>
      </w:pPr>
      <w:hyperlink w:anchor="_Toc319425033" w:history="1">
        <w:r w:rsidR="007C3CFD" w:rsidRPr="00652232">
          <w:rPr>
            <w:rStyle w:val="Hyperlink"/>
            <w:noProof/>
          </w:rPr>
          <w:t>3.4</w:t>
        </w:r>
        <w:r w:rsidR="007C3CFD">
          <w:rPr>
            <w:noProof/>
            <w:sz w:val="24"/>
            <w:szCs w:val="24"/>
            <w:lang w:eastAsia="ja-JP"/>
          </w:rPr>
          <w:tab/>
        </w:r>
        <w:r w:rsidR="007C3CFD" w:rsidRPr="00652232">
          <w:rPr>
            <w:rStyle w:val="Hyperlink"/>
            <w:noProof/>
          </w:rPr>
          <w:t>TI ESH Standard 05.01, “</w:t>
        </w:r>
        <w:r w:rsidR="007C3CFD" w:rsidRPr="00652232">
          <w:rPr>
            <w:rStyle w:val="Hyperlink"/>
            <w:caps/>
            <w:noProof/>
          </w:rPr>
          <w:t>Egress and Evacuations</w:t>
        </w:r>
        <w:r w:rsidR="007C3CFD" w:rsidRPr="00652232">
          <w:rPr>
            <w:rStyle w:val="Hyperlink"/>
            <w:noProof/>
          </w:rPr>
          <w:t>"</w:t>
        </w:r>
        <w:r w:rsidR="007C3CFD">
          <w:rPr>
            <w:noProof/>
            <w:webHidden/>
          </w:rPr>
          <w:tab/>
        </w:r>
        <w:r w:rsidR="00B01CE7">
          <w:rPr>
            <w:noProof/>
            <w:webHidden/>
          </w:rPr>
          <w:fldChar w:fldCharType="begin"/>
        </w:r>
        <w:r w:rsidR="007C3CFD">
          <w:rPr>
            <w:noProof/>
            <w:webHidden/>
          </w:rPr>
          <w:instrText xml:space="preserve"> PAGEREF _Toc319425033 \h </w:instrText>
        </w:r>
        <w:r w:rsidR="00B01CE7">
          <w:rPr>
            <w:noProof/>
            <w:webHidden/>
          </w:rPr>
        </w:r>
        <w:r w:rsidR="00B01CE7">
          <w:rPr>
            <w:noProof/>
            <w:webHidden/>
          </w:rPr>
          <w:fldChar w:fldCharType="separate"/>
        </w:r>
        <w:r w:rsidR="007C3CFD">
          <w:rPr>
            <w:noProof/>
            <w:webHidden/>
          </w:rPr>
          <w:t>1</w:t>
        </w:r>
        <w:r w:rsidR="00B01CE7">
          <w:rPr>
            <w:noProof/>
            <w:webHidden/>
          </w:rPr>
          <w:fldChar w:fldCharType="end"/>
        </w:r>
      </w:hyperlink>
    </w:p>
    <w:p w14:paraId="2149E259" w14:textId="77777777" w:rsidR="007C3CFD" w:rsidRDefault="002F46AB">
      <w:pPr>
        <w:pStyle w:val="TOC1"/>
        <w:tabs>
          <w:tab w:val="left" w:pos="810"/>
          <w:tab w:val="right" w:leader="dot" w:pos="9350"/>
        </w:tabs>
        <w:rPr>
          <w:caps w:val="0"/>
          <w:noProof/>
          <w:sz w:val="24"/>
          <w:szCs w:val="24"/>
          <w:lang w:eastAsia="ja-JP"/>
        </w:rPr>
      </w:pPr>
      <w:hyperlink w:anchor="_Toc319425035" w:history="1">
        <w:r w:rsidR="003C3361" w:rsidRPr="00652232">
          <w:rPr>
            <w:rStyle w:val="Hyperlink"/>
            <w:noProof/>
          </w:rPr>
          <w:t>4.0</w:t>
        </w:r>
        <w:r w:rsidR="003C3361">
          <w:rPr>
            <w:caps w:val="0"/>
            <w:noProof/>
            <w:sz w:val="24"/>
            <w:szCs w:val="24"/>
            <w:lang w:eastAsia="ja-JP"/>
          </w:rPr>
          <w:tab/>
        </w:r>
        <w:r w:rsidR="003C3361" w:rsidRPr="00652232">
          <w:rPr>
            <w:rStyle w:val="Hyperlink"/>
            <w:noProof/>
          </w:rPr>
          <w:t>Definitions</w:t>
        </w:r>
        <w:r w:rsidR="003C3361">
          <w:rPr>
            <w:noProof/>
            <w:webHidden/>
          </w:rPr>
          <w:tab/>
          <w:t>1</w:t>
        </w:r>
      </w:hyperlink>
    </w:p>
    <w:p w14:paraId="2149E25A" w14:textId="77777777" w:rsidR="007C3CFD" w:rsidRDefault="002F46AB">
      <w:pPr>
        <w:pStyle w:val="TOC1"/>
        <w:tabs>
          <w:tab w:val="left" w:pos="810"/>
          <w:tab w:val="right" w:leader="dot" w:pos="9350"/>
        </w:tabs>
        <w:rPr>
          <w:caps w:val="0"/>
          <w:noProof/>
          <w:sz w:val="24"/>
          <w:szCs w:val="24"/>
          <w:lang w:eastAsia="ja-JP"/>
        </w:rPr>
      </w:pPr>
      <w:hyperlink w:anchor="_Toc319425036" w:history="1">
        <w:r w:rsidR="007C3CFD" w:rsidRPr="00652232">
          <w:rPr>
            <w:rStyle w:val="Hyperlink"/>
            <w:noProof/>
          </w:rPr>
          <w:t>5.0</w:t>
        </w:r>
        <w:r w:rsidR="007C3CFD">
          <w:rPr>
            <w:caps w:val="0"/>
            <w:noProof/>
            <w:sz w:val="24"/>
            <w:szCs w:val="24"/>
            <w:lang w:eastAsia="ja-JP"/>
          </w:rPr>
          <w:tab/>
        </w:r>
        <w:r w:rsidR="007C3CFD" w:rsidRPr="00652232">
          <w:rPr>
            <w:rStyle w:val="Hyperlink"/>
            <w:noProof/>
          </w:rPr>
          <w:t>Requirements</w:t>
        </w:r>
        <w:r w:rsidR="007C3CFD">
          <w:rPr>
            <w:noProof/>
            <w:webHidden/>
          </w:rPr>
          <w:tab/>
        </w:r>
        <w:r w:rsidR="00B01CE7">
          <w:rPr>
            <w:noProof/>
            <w:webHidden/>
          </w:rPr>
          <w:fldChar w:fldCharType="begin"/>
        </w:r>
        <w:r w:rsidR="007C3CFD">
          <w:rPr>
            <w:noProof/>
            <w:webHidden/>
          </w:rPr>
          <w:instrText xml:space="preserve"> PAGEREF _Toc319425036 \h </w:instrText>
        </w:r>
        <w:r w:rsidR="00B01CE7">
          <w:rPr>
            <w:noProof/>
            <w:webHidden/>
          </w:rPr>
        </w:r>
        <w:r w:rsidR="00B01CE7">
          <w:rPr>
            <w:noProof/>
            <w:webHidden/>
          </w:rPr>
          <w:fldChar w:fldCharType="separate"/>
        </w:r>
        <w:r w:rsidR="007C3CFD">
          <w:rPr>
            <w:noProof/>
            <w:webHidden/>
          </w:rPr>
          <w:t>2</w:t>
        </w:r>
        <w:r w:rsidR="00B01CE7">
          <w:rPr>
            <w:noProof/>
            <w:webHidden/>
          </w:rPr>
          <w:fldChar w:fldCharType="end"/>
        </w:r>
      </w:hyperlink>
    </w:p>
    <w:p w14:paraId="2149E25B" w14:textId="77777777" w:rsidR="007C3CFD" w:rsidRDefault="002F46AB">
      <w:pPr>
        <w:pStyle w:val="TOC2"/>
        <w:rPr>
          <w:noProof/>
          <w:sz w:val="24"/>
          <w:szCs w:val="24"/>
          <w:lang w:eastAsia="ja-JP"/>
        </w:rPr>
      </w:pPr>
      <w:hyperlink w:anchor="_Toc319425037" w:history="1">
        <w:r w:rsidR="007C3CFD" w:rsidRPr="00652232">
          <w:rPr>
            <w:rStyle w:val="Hyperlink"/>
            <w:noProof/>
          </w:rPr>
          <w:t>5.1</w:t>
        </w:r>
        <w:r w:rsidR="007C3CFD">
          <w:rPr>
            <w:noProof/>
            <w:sz w:val="24"/>
            <w:szCs w:val="24"/>
            <w:lang w:eastAsia="ja-JP"/>
          </w:rPr>
          <w:tab/>
        </w:r>
        <w:r w:rsidR="007C3CFD" w:rsidRPr="00652232">
          <w:rPr>
            <w:rStyle w:val="Hyperlink"/>
            <w:noProof/>
          </w:rPr>
          <w:t>Program</w:t>
        </w:r>
        <w:r w:rsidR="007C3CFD">
          <w:rPr>
            <w:noProof/>
            <w:webHidden/>
          </w:rPr>
          <w:tab/>
        </w:r>
        <w:r w:rsidR="00B01CE7">
          <w:rPr>
            <w:noProof/>
            <w:webHidden/>
          </w:rPr>
          <w:fldChar w:fldCharType="begin"/>
        </w:r>
        <w:r w:rsidR="007C3CFD">
          <w:rPr>
            <w:noProof/>
            <w:webHidden/>
          </w:rPr>
          <w:instrText xml:space="preserve"> PAGEREF _Toc319425037 \h </w:instrText>
        </w:r>
        <w:r w:rsidR="00B01CE7">
          <w:rPr>
            <w:noProof/>
            <w:webHidden/>
          </w:rPr>
        </w:r>
        <w:r w:rsidR="00B01CE7">
          <w:rPr>
            <w:noProof/>
            <w:webHidden/>
          </w:rPr>
          <w:fldChar w:fldCharType="separate"/>
        </w:r>
        <w:r w:rsidR="007C3CFD">
          <w:rPr>
            <w:noProof/>
            <w:webHidden/>
          </w:rPr>
          <w:t>2</w:t>
        </w:r>
        <w:r w:rsidR="00B01CE7">
          <w:rPr>
            <w:noProof/>
            <w:webHidden/>
          </w:rPr>
          <w:fldChar w:fldCharType="end"/>
        </w:r>
      </w:hyperlink>
    </w:p>
    <w:p w14:paraId="2149E25C" w14:textId="77777777" w:rsidR="007C3CFD" w:rsidRDefault="002F46AB">
      <w:pPr>
        <w:pStyle w:val="TOC2"/>
        <w:rPr>
          <w:noProof/>
          <w:sz w:val="24"/>
          <w:szCs w:val="24"/>
          <w:lang w:eastAsia="ja-JP"/>
        </w:rPr>
      </w:pPr>
      <w:hyperlink w:anchor="_Toc319425038" w:history="1">
        <w:r w:rsidR="007C3CFD" w:rsidRPr="00652232">
          <w:rPr>
            <w:rStyle w:val="Hyperlink"/>
            <w:noProof/>
          </w:rPr>
          <w:t>5.2</w:t>
        </w:r>
        <w:r w:rsidR="007C3CFD">
          <w:rPr>
            <w:noProof/>
            <w:sz w:val="24"/>
            <w:szCs w:val="24"/>
            <w:lang w:eastAsia="ja-JP"/>
          </w:rPr>
          <w:tab/>
        </w:r>
        <w:r w:rsidR="007C3CFD" w:rsidRPr="00652232">
          <w:rPr>
            <w:rStyle w:val="Hyperlink"/>
            <w:noProof/>
          </w:rPr>
          <w:t>General Requirements for Chemical Storage</w:t>
        </w:r>
        <w:r w:rsidR="007C3CFD">
          <w:rPr>
            <w:noProof/>
            <w:webHidden/>
          </w:rPr>
          <w:tab/>
        </w:r>
        <w:r w:rsidR="00B01CE7">
          <w:rPr>
            <w:noProof/>
            <w:webHidden/>
          </w:rPr>
          <w:fldChar w:fldCharType="begin"/>
        </w:r>
        <w:r w:rsidR="007C3CFD">
          <w:rPr>
            <w:noProof/>
            <w:webHidden/>
          </w:rPr>
          <w:instrText xml:space="preserve"> PAGEREF _Toc319425038 \h </w:instrText>
        </w:r>
        <w:r w:rsidR="00B01CE7">
          <w:rPr>
            <w:noProof/>
            <w:webHidden/>
          </w:rPr>
        </w:r>
        <w:r w:rsidR="00B01CE7">
          <w:rPr>
            <w:noProof/>
            <w:webHidden/>
          </w:rPr>
          <w:fldChar w:fldCharType="separate"/>
        </w:r>
        <w:r w:rsidR="007C3CFD">
          <w:rPr>
            <w:noProof/>
            <w:webHidden/>
          </w:rPr>
          <w:t>3</w:t>
        </w:r>
        <w:r w:rsidR="00B01CE7">
          <w:rPr>
            <w:noProof/>
            <w:webHidden/>
          </w:rPr>
          <w:fldChar w:fldCharType="end"/>
        </w:r>
      </w:hyperlink>
    </w:p>
    <w:p w14:paraId="2149E25D" w14:textId="77777777" w:rsidR="007C3CFD" w:rsidRDefault="002F46AB">
      <w:pPr>
        <w:pStyle w:val="TOC2"/>
        <w:rPr>
          <w:noProof/>
          <w:sz w:val="24"/>
          <w:szCs w:val="24"/>
          <w:lang w:eastAsia="ja-JP"/>
        </w:rPr>
      </w:pPr>
      <w:hyperlink w:anchor="_Toc319425039" w:history="1">
        <w:r w:rsidR="007C3CFD" w:rsidRPr="00652232">
          <w:rPr>
            <w:rStyle w:val="Hyperlink"/>
            <w:noProof/>
          </w:rPr>
          <w:t>5.3</w:t>
        </w:r>
        <w:r w:rsidR="007C3CFD">
          <w:rPr>
            <w:noProof/>
            <w:sz w:val="24"/>
            <w:szCs w:val="24"/>
            <w:lang w:eastAsia="ja-JP"/>
          </w:rPr>
          <w:tab/>
        </w:r>
        <w:r w:rsidR="007C3CFD" w:rsidRPr="00652232">
          <w:rPr>
            <w:rStyle w:val="Hyperlink"/>
            <w:noProof/>
          </w:rPr>
          <w:t>Chemical Storage and Dispensing Rooms</w:t>
        </w:r>
        <w:r w:rsidR="007C3CFD">
          <w:rPr>
            <w:noProof/>
            <w:webHidden/>
          </w:rPr>
          <w:tab/>
        </w:r>
        <w:r w:rsidR="00B01CE7">
          <w:rPr>
            <w:noProof/>
            <w:webHidden/>
          </w:rPr>
          <w:fldChar w:fldCharType="begin"/>
        </w:r>
        <w:r w:rsidR="007C3CFD">
          <w:rPr>
            <w:noProof/>
            <w:webHidden/>
          </w:rPr>
          <w:instrText xml:space="preserve"> PAGEREF _Toc319425039 \h </w:instrText>
        </w:r>
        <w:r w:rsidR="00B01CE7">
          <w:rPr>
            <w:noProof/>
            <w:webHidden/>
          </w:rPr>
        </w:r>
        <w:r w:rsidR="00B01CE7">
          <w:rPr>
            <w:noProof/>
            <w:webHidden/>
          </w:rPr>
          <w:fldChar w:fldCharType="separate"/>
        </w:r>
        <w:r w:rsidR="007C3CFD">
          <w:rPr>
            <w:noProof/>
            <w:webHidden/>
          </w:rPr>
          <w:t>3</w:t>
        </w:r>
        <w:r w:rsidR="00B01CE7">
          <w:rPr>
            <w:noProof/>
            <w:webHidden/>
          </w:rPr>
          <w:fldChar w:fldCharType="end"/>
        </w:r>
      </w:hyperlink>
    </w:p>
    <w:p w14:paraId="2149E25E" w14:textId="77777777" w:rsidR="007C3CFD" w:rsidRDefault="002F46AB">
      <w:pPr>
        <w:pStyle w:val="TOC2"/>
        <w:rPr>
          <w:noProof/>
          <w:sz w:val="24"/>
          <w:szCs w:val="24"/>
          <w:lang w:eastAsia="ja-JP"/>
        </w:rPr>
      </w:pPr>
      <w:hyperlink w:anchor="_Toc319425040" w:history="1">
        <w:r w:rsidR="003C3361" w:rsidRPr="00652232">
          <w:rPr>
            <w:rStyle w:val="Hyperlink"/>
            <w:noProof/>
          </w:rPr>
          <w:t>5.4</w:t>
        </w:r>
        <w:r w:rsidR="003C3361">
          <w:rPr>
            <w:noProof/>
            <w:sz w:val="24"/>
            <w:szCs w:val="24"/>
            <w:lang w:eastAsia="ja-JP"/>
          </w:rPr>
          <w:tab/>
        </w:r>
        <w:r w:rsidR="003C3361" w:rsidRPr="00652232">
          <w:rPr>
            <w:rStyle w:val="Hyperlink"/>
            <w:noProof/>
          </w:rPr>
          <w:t>Chemical Dispensing</w:t>
        </w:r>
        <w:r w:rsidR="003C3361">
          <w:rPr>
            <w:noProof/>
            <w:webHidden/>
          </w:rPr>
          <w:tab/>
          <w:t>4</w:t>
        </w:r>
      </w:hyperlink>
    </w:p>
    <w:p w14:paraId="2149E25F" w14:textId="77777777" w:rsidR="007C3CFD" w:rsidRDefault="002F46AB">
      <w:pPr>
        <w:pStyle w:val="TOC2"/>
        <w:rPr>
          <w:noProof/>
          <w:sz w:val="24"/>
          <w:szCs w:val="24"/>
          <w:lang w:eastAsia="ja-JP"/>
        </w:rPr>
      </w:pPr>
      <w:hyperlink w:anchor="_Toc319425041" w:history="1">
        <w:r w:rsidR="003C3361" w:rsidRPr="00652232">
          <w:rPr>
            <w:rStyle w:val="Hyperlink"/>
            <w:noProof/>
          </w:rPr>
          <w:t>5.5</w:t>
        </w:r>
        <w:r w:rsidR="003C3361">
          <w:rPr>
            <w:noProof/>
            <w:sz w:val="24"/>
            <w:szCs w:val="24"/>
            <w:lang w:eastAsia="ja-JP"/>
          </w:rPr>
          <w:tab/>
        </w:r>
        <w:r w:rsidR="003C3361" w:rsidRPr="00652232">
          <w:rPr>
            <w:rStyle w:val="Hyperlink"/>
            <w:noProof/>
          </w:rPr>
          <w:t>Chemical Storage Cabinets</w:t>
        </w:r>
        <w:r w:rsidR="003C3361">
          <w:rPr>
            <w:noProof/>
            <w:webHidden/>
          </w:rPr>
          <w:tab/>
          <w:t>4</w:t>
        </w:r>
      </w:hyperlink>
    </w:p>
    <w:p w14:paraId="2149E260" w14:textId="77777777" w:rsidR="007C3CFD" w:rsidRDefault="002F46AB">
      <w:pPr>
        <w:pStyle w:val="TOC2"/>
        <w:rPr>
          <w:noProof/>
          <w:sz w:val="24"/>
          <w:szCs w:val="24"/>
          <w:lang w:eastAsia="ja-JP"/>
        </w:rPr>
      </w:pPr>
      <w:hyperlink w:anchor="_Toc319425042" w:history="1">
        <w:r w:rsidR="003C3361" w:rsidRPr="00652232">
          <w:rPr>
            <w:rStyle w:val="Hyperlink"/>
            <w:noProof/>
          </w:rPr>
          <w:t>5.6</w:t>
        </w:r>
        <w:r w:rsidR="003C3361">
          <w:rPr>
            <w:noProof/>
            <w:sz w:val="24"/>
            <w:szCs w:val="24"/>
            <w:lang w:eastAsia="ja-JP"/>
          </w:rPr>
          <w:tab/>
        </w:r>
        <w:r w:rsidR="003C3361" w:rsidRPr="00652232">
          <w:rPr>
            <w:rStyle w:val="Hyperlink"/>
            <w:noProof/>
          </w:rPr>
          <w:t>General Requirements for Spill Control Facilities</w:t>
        </w:r>
        <w:r w:rsidR="003C3361">
          <w:rPr>
            <w:noProof/>
            <w:webHidden/>
          </w:rPr>
          <w:tab/>
          <w:t>4</w:t>
        </w:r>
      </w:hyperlink>
    </w:p>
    <w:p w14:paraId="2149E261" w14:textId="77777777" w:rsidR="007C3CFD" w:rsidRDefault="002F46AB">
      <w:pPr>
        <w:pStyle w:val="TOC2"/>
        <w:rPr>
          <w:noProof/>
          <w:sz w:val="24"/>
          <w:szCs w:val="24"/>
          <w:lang w:eastAsia="ja-JP"/>
        </w:rPr>
      </w:pPr>
      <w:hyperlink w:anchor="_Toc319425043" w:history="1">
        <w:r w:rsidR="003C3361" w:rsidRPr="00652232">
          <w:rPr>
            <w:rStyle w:val="Hyperlink"/>
            <w:noProof/>
          </w:rPr>
          <w:t>5.7</w:t>
        </w:r>
        <w:r w:rsidR="003C3361">
          <w:rPr>
            <w:noProof/>
            <w:sz w:val="24"/>
            <w:szCs w:val="24"/>
            <w:lang w:eastAsia="ja-JP"/>
          </w:rPr>
          <w:tab/>
        </w:r>
        <w:r w:rsidR="003C3361" w:rsidRPr="00652232">
          <w:rPr>
            <w:rStyle w:val="Hyperlink"/>
            <w:noProof/>
          </w:rPr>
          <w:t>Specific Requirements for Indoor or Roofed Spill Control Facilities</w:t>
        </w:r>
        <w:r w:rsidR="003C3361">
          <w:rPr>
            <w:noProof/>
            <w:webHidden/>
          </w:rPr>
          <w:tab/>
          <w:t>6</w:t>
        </w:r>
      </w:hyperlink>
    </w:p>
    <w:p w14:paraId="2149E262" w14:textId="77777777" w:rsidR="007C3CFD" w:rsidRDefault="002F46AB">
      <w:pPr>
        <w:pStyle w:val="TOC2"/>
        <w:rPr>
          <w:noProof/>
          <w:sz w:val="24"/>
          <w:szCs w:val="24"/>
          <w:lang w:eastAsia="ja-JP"/>
        </w:rPr>
      </w:pPr>
      <w:hyperlink w:anchor="_Toc319425044" w:history="1">
        <w:r w:rsidR="003C3361" w:rsidRPr="00652232">
          <w:rPr>
            <w:rStyle w:val="Hyperlink"/>
            <w:noProof/>
          </w:rPr>
          <w:t>5.8</w:t>
        </w:r>
        <w:r w:rsidR="003C3361">
          <w:rPr>
            <w:noProof/>
            <w:sz w:val="24"/>
            <w:szCs w:val="24"/>
            <w:lang w:eastAsia="ja-JP"/>
          </w:rPr>
          <w:tab/>
        </w:r>
        <w:r w:rsidR="003C3361" w:rsidRPr="00652232">
          <w:rPr>
            <w:rStyle w:val="Hyperlink"/>
            <w:noProof/>
          </w:rPr>
          <w:t>Specific Requirements for Outdoor Spill Control Facilities</w:t>
        </w:r>
        <w:r w:rsidR="003C3361">
          <w:rPr>
            <w:noProof/>
            <w:webHidden/>
          </w:rPr>
          <w:tab/>
          <w:t>6</w:t>
        </w:r>
      </w:hyperlink>
    </w:p>
    <w:p w14:paraId="2149E263" w14:textId="77777777" w:rsidR="007C3CFD" w:rsidRDefault="002F46AB">
      <w:pPr>
        <w:pStyle w:val="TOC2"/>
        <w:rPr>
          <w:noProof/>
          <w:sz w:val="24"/>
          <w:szCs w:val="24"/>
          <w:lang w:eastAsia="ja-JP"/>
        </w:rPr>
      </w:pPr>
      <w:hyperlink w:anchor="_Toc319425045" w:history="1">
        <w:r w:rsidR="003C3361" w:rsidRPr="00652232">
          <w:rPr>
            <w:rStyle w:val="Hyperlink"/>
            <w:noProof/>
          </w:rPr>
          <w:t>5.9</w:t>
        </w:r>
        <w:r w:rsidR="003C3361">
          <w:rPr>
            <w:noProof/>
            <w:sz w:val="24"/>
            <w:szCs w:val="24"/>
            <w:lang w:eastAsia="ja-JP"/>
          </w:rPr>
          <w:tab/>
        </w:r>
        <w:r w:rsidR="003C3361" w:rsidRPr="00652232">
          <w:rPr>
            <w:rStyle w:val="Hyperlink"/>
            <w:noProof/>
          </w:rPr>
          <w:t>Record Keeping</w:t>
        </w:r>
        <w:r w:rsidR="003C3361">
          <w:rPr>
            <w:noProof/>
            <w:webHidden/>
          </w:rPr>
          <w:tab/>
          <w:t>7</w:t>
        </w:r>
      </w:hyperlink>
    </w:p>
    <w:p w14:paraId="2149E264" w14:textId="77777777" w:rsidR="007C3CFD" w:rsidRDefault="002F46AB">
      <w:pPr>
        <w:pStyle w:val="TOC2"/>
        <w:rPr>
          <w:noProof/>
          <w:sz w:val="24"/>
          <w:szCs w:val="24"/>
          <w:lang w:eastAsia="ja-JP"/>
        </w:rPr>
      </w:pPr>
      <w:hyperlink w:anchor="_Toc319425046" w:history="1">
        <w:r w:rsidR="003C3361" w:rsidRPr="00652232">
          <w:rPr>
            <w:rStyle w:val="Hyperlink"/>
            <w:noProof/>
          </w:rPr>
          <w:t>5.10</w:t>
        </w:r>
        <w:r w:rsidR="003C3361">
          <w:rPr>
            <w:noProof/>
            <w:sz w:val="24"/>
            <w:szCs w:val="24"/>
            <w:lang w:eastAsia="ja-JP"/>
          </w:rPr>
          <w:tab/>
        </w:r>
        <w:r w:rsidR="003C3361" w:rsidRPr="00652232">
          <w:rPr>
            <w:rStyle w:val="Hyperlink"/>
            <w:noProof/>
          </w:rPr>
          <w:t>Training</w:t>
        </w:r>
        <w:r w:rsidR="003C3361">
          <w:rPr>
            <w:noProof/>
            <w:webHidden/>
          </w:rPr>
          <w:tab/>
          <w:t>7</w:t>
        </w:r>
      </w:hyperlink>
    </w:p>
    <w:p w14:paraId="2149E265" w14:textId="77777777" w:rsidR="007C3CFD" w:rsidRDefault="002F46AB">
      <w:pPr>
        <w:pStyle w:val="TOC1"/>
        <w:tabs>
          <w:tab w:val="left" w:pos="810"/>
          <w:tab w:val="right" w:leader="dot" w:pos="9350"/>
        </w:tabs>
        <w:rPr>
          <w:caps w:val="0"/>
          <w:noProof/>
          <w:sz w:val="24"/>
          <w:szCs w:val="24"/>
          <w:lang w:eastAsia="ja-JP"/>
        </w:rPr>
      </w:pPr>
      <w:hyperlink w:anchor="_Toc319425047" w:history="1">
        <w:r w:rsidR="003C3361" w:rsidRPr="00652232">
          <w:rPr>
            <w:rStyle w:val="Hyperlink"/>
            <w:noProof/>
          </w:rPr>
          <w:t>6.0</w:t>
        </w:r>
        <w:r w:rsidR="003C3361">
          <w:rPr>
            <w:caps w:val="0"/>
            <w:noProof/>
            <w:sz w:val="24"/>
            <w:szCs w:val="24"/>
            <w:lang w:eastAsia="ja-JP"/>
          </w:rPr>
          <w:tab/>
        </w:r>
        <w:r w:rsidR="003C3361" w:rsidRPr="00652232">
          <w:rPr>
            <w:rStyle w:val="Hyperlink"/>
            <w:noProof/>
          </w:rPr>
          <w:t>STANDARD Approval</w:t>
        </w:r>
        <w:r w:rsidR="003C3361">
          <w:rPr>
            <w:noProof/>
            <w:webHidden/>
          </w:rPr>
          <w:tab/>
          <w:t>7</w:t>
        </w:r>
      </w:hyperlink>
    </w:p>
    <w:p w14:paraId="2149E266" w14:textId="77777777" w:rsidR="007C3CFD" w:rsidRDefault="002F46AB">
      <w:pPr>
        <w:pStyle w:val="TOC1"/>
        <w:tabs>
          <w:tab w:val="left" w:pos="810"/>
          <w:tab w:val="right" w:leader="dot" w:pos="9350"/>
        </w:tabs>
        <w:rPr>
          <w:caps w:val="0"/>
          <w:noProof/>
          <w:sz w:val="24"/>
          <w:szCs w:val="24"/>
          <w:lang w:eastAsia="ja-JP"/>
        </w:rPr>
      </w:pPr>
      <w:hyperlink w:anchor="_Toc319425048" w:history="1">
        <w:r w:rsidR="003C3361" w:rsidRPr="00652232">
          <w:rPr>
            <w:rStyle w:val="Hyperlink"/>
            <w:noProof/>
          </w:rPr>
          <w:t>7.0</w:t>
        </w:r>
        <w:r w:rsidR="003C3361">
          <w:rPr>
            <w:caps w:val="0"/>
            <w:noProof/>
            <w:sz w:val="24"/>
            <w:szCs w:val="24"/>
            <w:lang w:eastAsia="ja-JP"/>
          </w:rPr>
          <w:tab/>
        </w:r>
        <w:r w:rsidR="003C3361" w:rsidRPr="00652232">
          <w:rPr>
            <w:rStyle w:val="Hyperlink"/>
            <w:noProof/>
          </w:rPr>
          <w:t>Revision history</w:t>
        </w:r>
        <w:r w:rsidR="003C3361">
          <w:rPr>
            <w:noProof/>
            <w:webHidden/>
          </w:rPr>
          <w:tab/>
          <w:t>8</w:t>
        </w:r>
      </w:hyperlink>
    </w:p>
    <w:p w14:paraId="2149E267" w14:textId="77777777" w:rsidR="007C3CFD" w:rsidRDefault="002F46AB">
      <w:pPr>
        <w:pStyle w:val="TOC1"/>
        <w:tabs>
          <w:tab w:val="left" w:pos="1600"/>
          <w:tab w:val="right" w:leader="dot" w:pos="9350"/>
        </w:tabs>
        <w:rPr>
          <w:caps w:val="0"/>
          <w:noProof/>
          <w:sz w:val="24"/>
          <w:szCs w:val="24"/>
          <w:lang w:eastAsia="ja-JP"/>
        </w:rPr>
      </w:pPr>
      <w:hyperlink w:anchor="_Toc319425049" w:history="1">
        <w:r w:rsidR="003C3361" w:rsidRPr="00652232">
          <w:rPr>
            <w:rStyle w:val="Hyperlink"/>
            <w:noProof/>
          </w:rPr>
          <w:t>APPENDIX A</w:t>
        </w:r>
        <w:r w:rsidR="003C3361">
          <w:rPr>
            <w:caps w:val="0"/>
            <w:noProof/>
            <w:sz w:val="24"/>
            <w:szCs w:val="24"/>
            <w:lang w:eastAsia="ja-JP"/>
          </w:rPr>
          <w:tab/>
        </w:r>
        <w:r w:rsidR="003C3361" w:rsidRPr="00652232">
          <w:rPr>
            <w:rStyle w:val="Hyperlink"/>
            <w:noProof/>
          </w:rPr>
          <w:t>Maximum Allowable Size of Containers and Portable Tanks</w:t>
        </w:r>
        <w:r w:rsidR="003C3361">
          <w:rPr>
            <w:noProof/>
            <w:webHidden/>
          </w:rPr>
          <w:tab/>
          <w:t>8</w:t>
        </w:r>
      </w:hyperlink>
    </w:p>
    <w:p w14:paraId="2149E268" w14:textId="77777777" w:rsidR="007C3CFD" w:rsidRDefault="00B01CE7">
      <w:pPr>
        <w:pStyle w:val="TOC1"/>
      </w:pPr>
      <w:r>
        <w:fldChar w:fldCharType="end"/>
      </w:r>
    </w:p>
    <w:p w14:paraId="2149E269" w14:textId="77777777" w:rsidR="007C3CFD" w:rsidRDefault="007C3CFD">
      <w:pPr>
        <w:pStyle w:val="Heading1"/>
      </w:pPr>
      <w:bookmarkStart w:id="0" w:name="_Toc310781373"/>
      <w:bookmarkStart w:id="1" w:name="_Toc319425027"/>
      <w:r>
        <w:t>PURPOSE</w:t>
      </w:r>
      <w:bookmarkEnd w:id="0"/>
      <w:bookmarkEnd w:id="1"/>
    </w:p>
    <w:p w14:paraId="2149E26A" w14:textId="77777777" w:rsidR="007C3CFD" w:rsidRPr="00342F31" w:rsidRDefault="007C3CFD" w:rsidP="00012E28">
      <w:pPr>
        <w:pStyle w:val="BodyTextIndent"/>
        <w:ind w:left="450"/>
        <w:rPr>
          <w:rFonts w:ascii="Arial" w:hAnsi="Arial" w:cs="Arial"/>
        </w:rPr>
      </w:pPr>
      <w:r w:rsidRPr="00342F31">
        <w:rPr>
          <w:rFonts w:ascii="Arial" w:hAnsi="Arial" w:cs="Arial"/>
        </w:rPr>
        <w:t xml:space="preserve">This standard establishes the minimum requirements for chemical management (storage, use, spill prevention, </w:t>
      </w:r>
      <w:r w:rsidR="001E6A6F">
        <w:rPr>
          <w:rFonts w:ascii="Arial" w:hAnsi="Arial" w:cs="Arial"/>
        </w:rPr>
        <w:t xml:space="preserve">and </w:t>
      </w:r>
      <w:r w:rsidRPr="00342F31">
        <w:rPr>
          <w:rFonts w:ascii="Arial" w:hAnsi="Arial" w:cs="Arial"/>
        </w:rPr>
        <w:t>spill control and containment) to minimize the occurrence and impact of uncontrolled spills and leaks to the environment at TI sites worldwide.</w:t>
      </w:r>
    </w:p>
    <w:p w14:paraId="2149E26B" w14:textId="77777777" w:rsidR="007C3CFD" w:rsidRDefault="007C3CFD"/>
    <w:p w14:paraId="2149E26C" w14:textId="77777777" w:rsidR="007C3CFD" w:rsidRDefault="007C3CFD">
      <w:pPr>
        <w:pStyle w:val="Heading1"/>
      </w:pPr>
      <w:bookmarkStart w:id="2" w:name="_Toc310781374"/>
      <w:bookmarkStart w:id="3" w:name="_Toc319425028"/>
      <w:r>
        <w:t>SCOPE</w:t>
      </w:r>
      <w:bookmarkEnd w:id="2"/>
      <w:bookmarkEnd w:id="3"/>
    </w:p>
    <w:p w14:paraId="2149E26D" w14:textId="77777777" w:rsidR="007C3CFD" w:rsidRPr="00342F31" w:rsidRDefault="007C3CFD">
      <w:pPr>
        <w:pStyle w:val="BodyTextIndent"/>
        <w:rPr>
          <w:rFonts w:ascii="Arial" w:hAnsi="Arial" w:cs="Arial"/>
          <w:snapToGrid w:val="0"/>
        </w:rPr>
      </w:pPr>
      <w:r w:rsidRPr="00342F31">
        <w:rPr>
          <w:rFonts w:ascii="Arial" w:hAnsi="Arial" w:cs="Arial"/>
          <w:snapToGrid w:val="0"/>
        </w:rPr>
        <w:t xml:space="preserve">The provisions of this </w:t>
      </w:r>
      <w:r w:rsidRPr="00342F31">
        <w:rPr>
          <w:rFonts w:ascii="Arial" w:hAnsi="Arial" w:cs="Arial"/>
        </w:rPr>
        <w:t>standard</w:t>
      </w:r>
      <w:r w:rsidRPr="00342F31">
        <w:rPr>
          <w:rFonts w:ascii="Arial" w:hAnsi="Arial" w:cs="Arial"/>
          <w:snapToGrid w:val="0"/>
        </w:rPr>
        <w:t xml:space="preserve"> apply to</w:t>
      </w:r>
      <w:r w:rsidRPr="00342F31">
        <w:rPr>
          <w:rFonts w:ascii="Arial" w:hAnsi="Arial" w:cs="Arial"/>
        </w:rPr>
        <w:t xml:space="preserve"> all TI sites worldwide where </w:t>
      </w:r>
      <w:r w:rsidR="00C7148E" w:rsidRPr="00C7148E">
        <w:rPr>
          <w:rFonts w:ascii="Arial" w:hAnsi="Arial" w:cs="Arial"/>
          <w:b/>
        </w:rPr>
        <w:t>hazardous chemicals and materials</w:t>
      </w:r>
      <w:r w:rsidRPr="00342F31">
        <w:rPr>
          <w:rFonts w:ascii="Arial" w:hAnsi="Arial" w:cs="Arial"/>
        </w:rPr>
        <w:t xml:space="preserve"> are used, loaded, unloaded, transferred, or stored</w:t>
      </w:r>
      <w:r w:rsidRPr="00342F31">
        <w:rPr>
          <w:rFonts w:ascii="Arial" w:hAnsi="Arial" w:cs="Arial"/>
          <w:snapToGrid w:val="0"/>
        </w:rPr>
        <w:t>.</w:t>
      </w:r>
    </w:p>
    <w:p w14:paraId="2149E26E" w14:textId="77777777" w:rsidR="007C3CFD" w:rsidRDefault="007C3CFD"/>
    <w:p w14:paraId="2149E26F" w14:textId="77777777" w:rsidR="007C3CFD" w:rsidRDefault="007C3CFD">
      <w:pPr>
        <w:pStyle w:val="Heading1"/>
      </w:pPr>
      <w:bookmarkStart w:id="4" w:name="_Toc310781375"/>
      <w:bookmarkStart w:id="5" w:name="_Toc319425029"/>
      <w:r>
        <w:t>reference documents</w:t>
      </w:r>
      <w:bookmarkEnd w:id="4"/>
      <w:bookmarkEnd w:id="5"/>
    </w:p>
    <w:p w14:paraId="2149E270" w14:textId="77777777" w:rsidR="00C62275" w:rsidRDefault="007C3CFD">
      <w:pPr>
        <w:pStyle w:val="Heading2"/>
      </w:pPr>
      <w:bookmarkStart w:id="6" w:name="_Toc319425030"/>
      <w:r w:rsidRPr="00012E28">
        <w:t>TI Standard Policy and Procedure (SP&amp;P) 04-04-01: "Environmental, Health and Safety"</w:t>
      </w:r>
      <w:bookmarkEnd w:id="6"/>
    </w:p>
    <w:p w14:paraId="2149E271" w14:textId="77777777" w:rsidR="00C62275" w:rsidRDefault="007C3CFD">
      <w:pPr>
        <w:pStyle w:val="Heading2"/>
      </w:pPr>
      <w:bookmarkStart w:id="7" w:name="_Toc319425032"/>
      <w:r>
        <w:t>TI ESH Standard 03.01, “</w:t>
      </w:r>
      <w:hyperlink r:id="rId11" w:history="1">
        <w:r>
          <w:rPr>
            <w:rStyle w:val="Hyperlink"/>
            <w:rFonts w:eastAsia="MS Mincho"/>
            <w:caps/>
          </w:rPr>
          <w:t>Hazardous Chemicals And Materials</w:t>
        </w:r>
      </w:hyperlink>
      <w:r>
        <w:t>”</w:t>
      </w:r>
      <w:bookmarkEnd w:id="7"/>
    </w:p>
    <w:p w14:paraId="2149E272" w14:textId="77777777" w:rsidR="00C62275" w:rsidRDefault="007C3CFD">
      <w:pPr>
        <w:pStyle w:val="Heading2"/>
      </w:pPr>
      <w:bookmarkStart w:id="8" w:name="_Toc319425033"/>
      <w:r>
        <w:t>TI ESH Standard 05.01, “</w:t>
      </w:r>
      <w:hyperlink r:id="rId12" w:history="1">
        <w:r>
          <w:rPr>
            <w:rStyle w:val="Hyperlink"/>
            <w:rFonts w:eastAsia="MS Mincho"/>
            <w:caps/>
          </w:rPr>
          <w:t>Egress and Evacuations</w:t>
        </w:r>
      </w:hyperlink>
      <w:r>
        <w:t>"</w:t>
      </w:r>
      <w:bookmarkEnd w:id="8"/>
    </w:p>
    <w:p w14:paraId="2149E273" w14:textId="77777777" w:rsidR="007C3CFD" w:rsidRPr="00F42432" w:rsidRDefault="007C3CFD" w:rsidP="00F42432"/>
    <w:p w14:paraId="2149E274" w14:textId="77777777" w:rsidR="007C3CFD" w:rsidRDefault="007C3CFD">
      <w:pPr>
        <w:pStyle w:val="Heading1"/>
      </w:pPr>
      <w:bookmarkStart w:id="9" w:name="_Toc310781377"/>
      <w:bookmarkStart w:id="10" w:name="_Toc310923113"/>
      <w:bookmarkStart w:id="11" w:name="_Toc310923242"/>
      <w:bookmarkStart w:id="12" w:name="_Toc310923323"/>
      <w:bookmarkStart w:id="13" w:name="_Toc310781378"/>
      <w:bookmarkStart w:id="14" w:name="_Toc310923114"/>
      <w:bookmarkStart w:id="15" w:name="_Toc310923243"/>
      <w:bookmarkStart w:id="16" w:name="_Toc310923324"/>
      <w:bookmarkStart w:id="17" w:name="_Toc310781384"/>
      <w:bookmarkStart w:id="18" w:name="_Toc319425035"/>
      <w:bookmarkEnd w:id="9"/>
      <w:bookmarkEnd w:id="10"/>
      <w:bookmarkEnd w:id="11"/>
      <w:bookmarkEnd w:id="12"/>
      <w:bookmarkEnd w:id="13"/>
      <w:bookmarkEnd w:id="14"/>
      <w:bookmarkEnd w:id="15"/>
      <w:bookmarkEnd w:id="16"/>
      <w:r>
        <w:t>Definitions</w:t>
      </w:r>
      <w:bookmarkEnd w:id="17"/>
      <w:bookmarkEnd w:id="18"/>
    </w:p>
    <w:bookmarkStart w:id="19" w:name="_GoBack"/>
    <w:p w14:paraId="2149E275" w14:textId="1644E619" w:rsidR="007C3CFD" w:rsidRDefault="002F46AB" w:rsidP="009D02DE">
      <w:pPr>
        <w:pStyle w:val="BodyTextIndent"/>
      </w:pPr>
      <w:r>
        <w:fldChar w:fldCharType="begin"/>
      </w:r>
      <w:r>
        <w:instrText>HYPERLINK "https://sps01.itg.ti.com/sites/wwf/esh/standards/Knowledge_Bank/00.01.xlsx"</w:instrText>
      </w:r>
      <w:r>
        <w:fldChar w:fldCharType="separate"/>
      </w:r>
      <w:r w:rsidR="007C3CFD" w:rsidRPr="00EF0754">
        <w:rPr>
          <w:rStyle w:val="Hyperlink"/>
        </w:rPr>
        <w:t>TI ESH Standards Glossary of Definitions</w:t>
      </w:r>
      <w:r>
        <w:rPr>
          <w:rStyle w:val="Hyperlink"/>
        </w:rPr>
        <w:fldChar w:fldCharType="end"/>
      </w:r>
      <w:bookmarkEnd w:id="19"/>
    </w:p>
    <w:p w14:paraId="2149E276" w14:textId="77777777" w:rsidR="007C3CFD" w:rsidRDefault="007C3CFD"/>
    <w:p w14:paraId="2149E277" w14:textId="77777777" w:rsidR="007C3CFD" w:rsidRDefault="007C3CFD">
      <w:pPr>
        <w:pStyle w:val="Heading1"/>
      </w:pPr>
      <w:bookmarkStart w:id="20" w:name="_Toc319425036"/>
      <w:bookmarkStart w:id="21" w:name="_Toc310781385"/>
      <w:r>
        <w:lastRenderedPageBreak/>
        <w:t>Requirements</w:t>
      </w:r>
      <w:bookmarkEnd w:id="20"/>
    </w:p>
    <w:p w14:paraId="2149E278" w14:textId="77777777" w:rsidR="007C3CFD" w:rsidRPr="00C207DA" w:rsidRDefault="007C3CFD" w:rsidP="00C207DA">
      <w:pPr>
        <w:pStyle w:val="BodyTextIndent"/>
        <w:rPr>
          <w:rFonts w:ascii="Arial" w:hAnsi="Arial" w:cs="Arial"/>
        </w:rPr>
      </w:pPr>
      <w:r w:rsidRPr="00C207DA">
        <w:rPr>
          <w:rFonts w:ascii="Arial" w:hAnsi="Arial" w:cs="Arial"/>
        </w:rPr>
        <w:t xml:space="preserve">Sites shall develop and implement a chemical storage, spill control, and spill response </w:t>
      </w:r>
      <w:r w:rsidR="00C7148E" w:rsidRPr="00C7148E">
        <w:rPr>
          <w:rFonts w:ascii="Arial" w:hAnsi="Arial" w:cs="Arial"/>
          <w:b/>
        </w:rPr>
        <w:t>program</w:t>
      </w:r>
      <w:r w:rsidRPr="00C207DA">
        <w:rPr>
          <w:rFonts w:ascii="Arial" w:hAnsi="Arial" w:cs="Arial"/>
        </w:rPr>
        <w:t xml:space="preserve"> to effectively prevent spills and leaks</w:t>
      </w:r>
      <w:r w:rsidR="00FB69FF">
        <w:rPr>
          <w:rFonts w:ascii="Arial" w:hAnsi="Arial" w:cs="Arial"/>
        </w:rPr>
        <w:t xml:space="preserve"> and </w:t>
      </w:r>
      <w:r w:rsidRPr="00C207DA">
        <w:rPr>
          <w:rFonts w:ascii="Arial" w:hAnsi="Arial" w:cs="Arial"/>
        </w:rPr>
        <w:t xml:space="preserve">ensure that </w:t>
      </w:r>
      <w:r w:rsidR="00C7148E" w:rsidRPr="00C7148E">
        <w:rPr>
          <w:rFonts w:ascii="Arial" w:hAnsi="Arial" w:cs="Arial"/>
          <w:b/>
        </w:rPr>
        <w:t>secondary containment structure</w:t>
      </w:r>
      <w:r w:rsidRPr="00C207DA">
        <w:rPr>
          <w:rFonts w:ascii="Arial" w:hAnsi="Arial" w:cs="Arial"/>
        </w:rPr>
        <w:t xml:space="preserve">s are properly designed and operated. </w:t>
      </w:r>
    </w:p>
    <w:p w14:paraId="2149E279" w14:textId="77777777" w:rsidR="00C62275" w:rsidRDefault="00E04856">
      <w:pPr>
        <w:pStyle w:val="Heading2"/>
      </w:pPr>
      <w:r>
        <w:t xml:space="preserve">The </w:t>
      </w:r>
      <w:r w:rsidR="00C7148E" w:rsidRPr="00C7148E">
        <w:rPr>
          <w:b/>
        </w:rPr>
        <w:t>program</w:t>
      </w:r>
      <w:r>
        <w:t xml:space="preserve"> shall include the following elements:</w:t>
      </w:r>
    </w:p>
    <w:p w14:paraId="2149E27A" w14:textId="77777777" w:rsidR="00B01CE7" w:rsidRDefault="008808DB">
      <w:pPr>
        <w:pStyle w:val="Heading3"/>
      </w:pPr>
      <w:r>
        <w:t xml:space="preserve">  </w:t>
      </w:r>
      <w:r w:rsidR="00E04856">
        <w:t>Inventor</w:t>
      </w:r>
      <w:r w:rsidR="007C3CFD" w:rsidRPr="00C207DA">
        <w:t xml:space="preserve">y of Chemical Storage and </w:t>
      </w:r>
      <w:r w:rsidR="00C7148E" w:rsidRPr="00C7148E">
        <w:rPr>
          <w:b/>
        </w:rPr>
        <w:t>Spill Control Facilities</w:t>
      </w:r>
      <w:r w:rsidR="007C3CFD" w:rsidRPr="00C207DA">
        <w:t>, including:</w:t>
      </w:r>
    </w:p>
    <w:p w14:paraId="2149E27B" w14:textId="77777777" w:rsidR="007C3CFD" w:rsidRPr="00C207DA" w:rsidRDefault="007C3CFD" w:rsidP="008808DB">
      <w:pPr>
        <w:pStyle w:val="Heading4"/>
        <w:tabs>
          <w:tab w:val="num" w:pos="2340"/>
        </w:tabs>
        <w:ind w:left="2340" w:hanging="810"/>
      </w:pPr>
      <w:r w:rsidRPr="00C207DA">
        <w:t>Type and storage capacity,</w:t>
      </w:r>
    </w:p>
    <w:p w14:paraId="2149E27C" w14:textId="77777777" w:rsidR="007C3CFD" w:rsidRPr="00C207DA" w:rsidRDefault="007C3CFD" w:rsidP="008808DB">
      <w:pPr>
        <w:pStyle w:val="Heading4"/>
        <w:tabs>
          <w:tab w:val="num" w:pos="2340"/>
        </w:tabs>
        <w:ind w:left="2340" w:hanging="810"/>
      </w:pPr>
      <w:r w:rsidRPr="00C207DA">
        <w:t>Location,</w:t>
      </w:r>
    </w:p>
    <w:p w14:paraId="2149E27D" w14:textId="77777777" w:rsidR="007C3CFD" w:rsidRPr="00C207DA" w:rsidRDefault="007C3CFD" w:rsidP="008808DB">
      <w:pPr>
        <w:pStyle w:val="Heading4"/>
        <w:tabs>
          <w:tab w:val="num" w:pos="2340"/>
        </w:tabs>
        <w:ind w:left="2340" w:hanging="810"/>
      </w:pPr>
      <w:r w:rsidRPr="00C207DA">
        <w:t>Containment capacity, and</w:t>
      </w:r>
    </w:p>
    <w:p w14:paraId="2149E27E" w14:textId="77777777" w:rsidR="007C3CFD" w:rsidRPr="00C207DA" w:rsidRDefault="007C3CFD" w:rsidP="008808DB">
      <w:pPr>
        <w:pStyle w:val="Heading4"/>
        <w:tabs>
          <w:tab w:val="num" w:pos="2340"/>
        </w:tabs>
        <w:ind w:left="2340" w:hanging="810"/>
      </w:pPr>
      <w:r w:rsidRPr="00C207DA">
        <w:t>Containment construction materials</w:t>
      </w:r>
    </w:p>
    <w:p w14:paraId="2149E27F" w14:textId="77777777" w:rsidR="00B01CE7" w:rsidRDefault="008808DB">
      <w:pPr>
        <w:pStyle w:val="Heading3"/>
      </w:pPr>
      <w:r>
        <w:t xml:space="preserve">  </w:t>
      </w:r>
      <w:r w:rsidR="007C3CFD" w:rsidRPr="00C207DA">
        <w:t xml:space="preserve">Assessment </w:t>
      </w:r>
    </w:p>
    <w:p w14:paraId="2149E280" w14:textId="77777777" w:rsidR="00B01CE7" w:rsidRDefault="007C3CFD">
      <w:pPr>
        <w:pStyle w:val="BodyTextIndent3"/>
        <w:ind w:left="1530"/>
        <w:rPr>
          <w:rFonts w:ascii="Arial" w:hAnsi="Arial" w:cs="Arial"/>
        </w:rPr>
      </w:pPr>
      <w:r w:rsidRPr="00C207DA">
        <w:rPr>
          <w:rFonts w:ascii="Arial" w:hAnsi="Arial" w:cs="Arial"/>
        </w:rPr>
        <w:t xml:space="preserve">Sites shall perform and document assessments for all installations to determine if any environmental, health, and safety hazards related to potential releases exist.  The assessments shall be performed initially and upon changes in hazards related to potential releases at the facility. The assessments shall include the following: </w:t>
      </w:r>
    </w:p>
    <w:p w14:paraId="2149E281" w14:textId="77777777" w:rsidR="00B01CE7" w:rsidRDefault="008808DB">
      <w:pPr>
        <w:pStyle w:val="Heading4"/>
        <w:ind w:left="2340" w:hanging="810"/>
      </w:pPr>
      <w:r>
        <w:t xml:space="preserve">   </w:t>
      </w:r>
      <w:r w:rsidR="007C3CFD" w:rsidRPr="00C207DA">
        <w:t>Facilities and equipment</w:t>
      </w:r>
    </w:p>
    <w:p w14:paraId="2149E282" w14:textId="77777777" w:rsidR="007C3CFD" w:rsidRPr="00C207DA" w:rsidRDefault="007C3CFD" w:rsidP="008808DB">
      <w:pPr>
        <w:pStyle w:val="Heading4"/>
        <w:tabs>
          <w:tab w:val="num" w:pos="2340"/>
        </w:tabs>
        <w:ind w:left="2340" w:hanging="810"/>
      </w:pPr>
      <w:r w:rsidRPr="00C207DA">
        <w:t xml:space="preserve">Activities and/or events (i.e., chemical movement, fire protection water containment, etc.) that may have a potential to cause, or allow, a release to the environment; </w:t>
      </w:r>
    </w:p>
    <w:p w14:paraId="2149E283" w14:textId="77777777" w:rsidR="007C3CFD" w:rsidRPr="00C207DA" w:rsidRDefault="007C3CFD" w:rsidP="008808DB">
      <w:pPr>
        <w:pStyle w:val="Heading4"/>
        <w:tabs>
          <w:tab w:val="num" w:pos="2340"/>
        </w:tabs>
        <w:ind w:left="2340" w:hanging="810"/>
      </w:pPr>
      <w:r w:rsidRPr="00C207DA">
        <w:t xml:space="preserve">Review of the </w:t>
      </w:r>
      <w:r w:rsidR="00C7148E" w:rsidRPr="00C7148E">
        <w:rPr>
          <w:b/>
        </w:rPr>
        <w:t>hazardous chemicals and materials</w:t>
      </w:r>
      <w:r w:rsidRPr="00C207DA">
        <w:t xml:space="preserve"> being stored and environmental impact; </w:t>
      </w:r>
    </w:p>
    <w:p w14:paraId="2149E284" w14:textId="77777777" w:rsidR="007C3CFD" w:rsidRPr="00C207DA" w:rsidRDefault="007C3CFD" w:rsidP="008808DB">
      <w:pPr>
        <w:pStyle w:val="Heading4"/>
        <w:tabs>
          <w:tab w:val="num" w:pos="2340"/>
        </w:tabs>
        <w:ind w:left="2340" w:hanging="810"/>
      </w:pPr>
      <w:r w:rsidRPr="00C207DA">
        <w:t xml:space="preserve">Determination of adequate containment capacity as defined in this specification; </w:t>
      </w:r>
    </w:p>
    <w:p w14:paraId="2149E285" w14:textId="77777777" w:rsidR="007C3CFD" w:rsidRPr="00C207DA" w:rsidRDefault="007C3CFD" w:rsidP="008808DB">
      <w:pPr>
        <w:pStyle w:val="Heading4"/>
        <w:tabs>
          <w:tab w:val="num" w:pos="2340"/>
        </w:tabs>
        <w:ind w:left="2340" w:hanging="810"/>
      </w:pPr>
      <w:r w:rsidRPr="00C207DA">
        <w:t xml:space="preserve">Review of the compatibility of containment structure materials, liners and / or coatings with the chemicals intended to be stored; </w:t>
      </w:r>
    </w:p>
    <w:p w14:paraId="2149E286" w14:textId="77777777" w:rsidR="007C3CFD" w:rsidRPr="00C207DA" w:rsidRDefault="007C3CFD" w:rsidP="008808DB">
      <w:pPr>
        <w:pStyle w:val="Heading4"/>
        <w:tabs>
          <w:tab w:val="num" w:pos="2340"/>
        </w:tabs>
        <w:ind w:left="2340" w:hanging="810"/>
      </w:pPr>
      <w:r w:rsidRPr="00C207DA">
        <w:t xml:space="preserve">The appropriate training requirements and recommended work practices for safely using, handling and storing </w:t>
      </w:r>
      <w:r w:rsidR="00C7148E" w:rsidRPr="00C7148E">
        <w:rPr>
          <w:b/>
        </w:rPr>
        <w:t>hazardous chemicals and materials</w:t>
      </w:r>
      <w:r w:rsidRPr="00C207DA">
        <w:t xml:space="preserve">; </w:t>
      </w:r>
    </w:p>
    <w:p w14:paraId="2149E287" w14:textId="77777777" w:rsidR="007C3CFD" w:rsidRPr="00C207DA" w:rsidRDefault="007C3CFD" w:rsidP="008808DB">
      <w:pPr>
        <w:pStyle w:val="Heading4"/>
        <w:tabs>
          <w:tab w:val="num" w:pos="2340"/>
        </w:tabs>
        <w:ind w:left="2340" w:hanging="810"/>
      </w:pPr>
      <w:r w:rsidRPr="00C207DA">
        <w:t xml:space="preserve">Any engineering controls for safely using, handling and storing </w:t>
      </w:r>
      <w:r w:rsidR="00C7148E" w:rsidRPr="00C7148E">
        <w:rPr>
          <w:b/>
        </w:rPr>
        <w:t>hazardous chemicals and materials</w:t>
      </w:r>
      <w:r w:rsidRPr="00C207DA">
        <w:t>, and</w:t>
      </w:r>
    </w:p>
    <w:p w14:paraId="2149E288" w14:textId="77777777" w:rsidR="007C3CFD" w:rsidRPr="00C207DA" w:rsidRDefault="007C3CFD" w:rsidP="008808DB">
      <w:pPr>
        <w:pStyle w:val="Heading4"/>
        <w:tabs>
          <w:tab w:val="num" w:pos="2340"/>
        </w:tabs>
        <w:ind w:left="2340" w:hanging="810"/>
      </w:pPr>
      <w:r w:rsidRPr="00C207DA">
        <w:t xml:space="preserve">The type of personal protective equipment (PPE) necessary for protecting persons from exposure to </w:t>
      </w:r>
      <w:r w:rsidR="00C7148E" w:rsidRPr="00C7148E">
        <w:rPr>
          <w:b/>
        </w:rPr>
        <w:t>hazardous chemicals and materials</w:t>
      </w:r>
      <w:r w:rsidRPr="00C207DA">
        <w:t xml:space="preserve">. </w:t>
      </w:r>
    </w:p>
    <w:p w14:paraId="2149E289" w14:textId="77777777" w:rsidR="007C3CFD" w:rsidRPr="00C207DA" w:rsidRDefault="007C3CFD" w:rsidP="00C207DA">
      <w:pPr>
        <w:rPr>
          <w:rFonts w:ascii="Arial" w:hAnsi="Arial" w:cs="Arial"/>
        </w:rPr>
      </w:pPr>
    </w:p>
    <w:p w14:paraId="2149E28A" w14:textId="77777777" w:rsidR="00B01CE7" w:rsidRDefault="008808DB">
      <w:pPr>
        <w:pStyle w:val="Heading3"/>
      </w:pPr>
      <w:r>
        <w:t xml:space="preserve">  </w:t>
      </w:r>
      <w:r w:rsidR="007C3CFD" w:rsidRPr="00C207DA">
        <w:t xml:space="preserve">Spill Control Operating Procedures </w:t>
      </w:r>
    </w:p>
    <w:p w14:paraId="2149E28B" w14:textId="77777777" w:rsidR="00B01CE7" w:rsidRDefault="007C3CFD">
      <w:pPr>
        <w:pStyle w:val="Heading4"/>
        <w:tabs>
          <w:tab w:val="num" w:pos="2340"/>
        </w:tabs>
        <w:ind w:left="2340" w:hanging="810"/>
      </w:pPr>
      <w:r w:rsidRPr="00C207DA">
        <w:t xml:space="preserve">Procedures for the proper operation and maintenance of </w:t>
      </w:r>
      <w:r w:rsidR="00C7148E" w:rsidRPr="00C7148E">
        <w:rPr>
          <w:b/>
        </w:rPr>
        <w:t>spill control facilities</w:t>
      </w:r>
      <w:r w:rsidRPr="00C207DA">
        <w:t xml:space="preserve"> including the following</w:t>
      </w:r>
      <w:r w:rsidR="00A0346E">
        <w:t xml:space="preserve"> where applicable</w:t>
      </w:r>
      <w:r w:rsidRPr="00C207DA">
        <w:t>:</w:t>
      </w:r>
    </w:p>
    <w:p w14:paraId="2149E28C" w14:textId="77777777" w:rsidR="007C3CFD" w:rsidRPr="00C207DA" w:rsidRDefault="007C3CFD" w:rsidP="008808DB">
      <w:pPr>
        <w:pStyle w:val="Heading5"/>
        <w:tabs>
          <w:tab w:val="num" w:pos="3330"/>
        </w:tabs>
        <w:ind w:left="3330"/>
      </w:pPr>
      <w:r w:rsidRPr="00C207DA">
        <w:t>Routine handling of products including loading, unloading, and facility transfers.</w:t>
      </w:r>
    </w:p>
    <w:p w14:paraId="2149E28D" w14:textId="77777777" w:rsidR="007C3CFD" w:rsidRPr="00C207DA" w:rsidRDefault="007C3CFD" w:rsidP="008808DB">
      <w:pPr>
        <w:pStyle w:val="Heading5"/>
        <w:tabs>
          <w:tab w:val="num" w:pos="3330"/>
        </w:tabs>
        <w:ind w:left="3330"/>
      </w:pPr>
      <w:r w:rsidRPr="00C207DA">
        <w:t>Valve operations;</w:t>
      </w:r>
    </w:p>
    <w:p w14:paraId="2149E28E" w14:textId="77777777" w:rsidR="007C3CFD" w:rsidRPr="00C207DA" w:rsidRDefault="007C3CFD" w:rsidP="008808DB">
      <w:pPr>
        <w:pStyle w:val="Heading5"/>
        <w:tabs>
          <w:tab w:val="num" w:pos="3330"/>
        </w:tabs>
        <w:ind w:left="3330"/>
      </w:pPr>
      <w:r w:rsidRPr="00C207DA">
        <w:t>Piping and / or hose connections;</w:t>
      </w:r>
    </w:p>
    <w:p w14:paraId="2149E28F" w14:textId="77777777" w:rsidR="007C3CFD" w:rsidRPr="00C207DA" w:rsidRDefault="007C3CFD" w:rsidP="008808DB">
      <w:pPr>
        <w:pStyle w:val="Heading5"/>
        <w:tabs>
          <w:tab w:val="num" w:pos="3330"/>
        </w:tabs>
        <w:ind w:left="3330"/>
      </w:pPr>
      <w:r w:rsidRPr="00C207DA">
        <w:t>Spill response;</w:t>
      </w:r>
    </w:p>
    <w:p w14:paraId="2149E290" w14:textId="77777777" w:rsidR="007C3CFD" w:rsidRPr="00C207DA" w:rsidRDefault="007C3CFD" w:rsidP="008808DB">
      <w:pPr>
        <w:pStyle w:val="Heading5"/>
        <w:tabs>
          <w:tab w:val="num" w:pos="3330"/>
        </w:tabs>
        <w:ind w:left="3330"/>
      </w:pPr>
      <w:r w:rsidRPr="00C207DA">
        <w:t>Inspection requirements, and</w:t>
      </w:r>
    </w:p>
    <w:p w14:paraId="2149E291" w14:textId="77777777" w:rsidR="007C3CFD" w:rsidRPr="00C207DA" w:rsidRDefault="007C3CFD" w:rsidP="008808DB">
      <w:pPr>
        <w:pStyle w:val="Heading5"/>
        <w:tabs>
          <w:tab w:val="num" w:pos="3330"/>
        </w:tabs>
        <w:ind w:left="3330"/>
      </w:pPr>
      <w:r w:rsidRPr="00C207DA">
        <w:t xml:space="preserve">Security to prevent the unauthorized or unintentional release of a regulated substance (e.g., fence, locked gate, etc.). </w:t>
      </w:r>
    </w:p>
    <w:p w14:paraId="2149E292" w14:textId="77777777" w:rsidR="007C3CFD" w:rsidRPr="00C207DA" w:rsidRDefault="007C3CFD" w:rsidP="00C207DA">
      <w:pPr>
        <w:rPr>
          <w:rFonts w:ascii="Arial" w:hAnsi="Arial" w:cs="Arial"/>
        </w:rPr>
      </w:pPr>
    </w:p>
    <w:p w14:paraId="2149E293" w14:textId="77777777" w:rsidR="007C3CFD" w:rsidRPr="00C207DA" w:rsidRDefault="007C3CFD" w:rsidP="00C207DA">
      <w:pPr>
        <w:ind w:left="288"/>
        <w:rPr>
          <w:rFonts w:ascii="Arial" w:hAnsi="Arial" w:cs="Arial"/>
        </w:rPr>
      </w:pPr>
    </w:p>
    <w:p w14:paraId="2149E294" w14:textId="77777777" w:rsidR="00B01CE7" w:rsidRDefault="007C3CFD">
      <w:pPr>
        <w:pStyle w:val="Heading2"/>
      </w:pPr>
      <w:bookmarkStart w:id="22" w:name="_Toc289954593"/>
      <w:bookmarkStart w:id="23" w:name="_Toc319425038"/>
      <w:bookmarkStart w:id="24" w:name="_Toc9763584"/>
      <w:bookmarkStart w:id="25" w:name="_Toc24778079"/>
      <w:bookmarkStart w:id="26" w:name="_Toc24791168"/>
      <w:r w:rsidRPr="00C207DA">
        <w:t>General Requirements for Chemical Storage</w:t>
      </w:r>
      <w:bookmarkEnd w:id="22"/>
      <w:bookmarkEnd w:id="23"/>
      <w:r w:rsidRPr="00C207DA">
        <w:t xml:space="preserve"> </w:t>
      </w:r>
    </w:p>
    <w:p w14:paraId="2149E295" w14:textId="77777777" w:rsidR="007C3CFD" w:rsidRPr="00C207DA" w:rsidRDefault="007C3CFD" w:rsidP="00C207DA">
      <w:pPr>
        <w:pStyle w:val="BodyTextIndent2"/>
        <w:ind w:left="990"/>
        <w:rPr>
          <w:rFonts w:ascii="Arial" w:hAnsi="Arial" w:cs="Arial"/>
        </w:rPr>
      </w:pPr>
    </w:p>
    <w:p w14:paraId="2149E296" w14:textId="77777777" w:rsidR="00B01CE7" w:rsidRDefault="00E21058">
      <w:pPr>
        <w:pStyle w:val="Heading3"/>
      </w:pPr>
      <w:r>
        <w:t xml:space="preserve">Chemical </w:t>
      </w:r>
      <w:r w:rsidR="00C7148E" w:rsidRPr="00C7148E">
        <w:rPr>
          <w:b/>
        </w:rPr>
        <w:t>containers</w:t>
      </w:r>
      <w:r>
        <w:t xml:space="preserve"> shall be compatible with the material stored and conditions of storage such as pressure and temperature; </w:t>
      </w:r>
      <w:r w:rsidRPr="00C207DA">
        <w:t xml:space="preserve"> </w:t>
      </w:r>
    </w:p>
    <w:p w14:paraId="2149E297" w14:textId="77777777" w:rsidR="00B01CE7" w:rsidRDefault="007C3CFD">
      <w:pPr>
        <w:pStyle w:val="Heading3"/>
      </w:pPr>
      <w:r w:rsidRPr="00C207DA">
        <w:t>Chemical</w:t>
      </w:r>
      <w:r w:rsidR="00A078C3">
        <w:t xml:space="preserve"> </w:t>
      </w:r>
      <w:r w:rsidR="00C7148E" w:rsidRPr="00C7148E">
        <w:rPr>
          <w:b/>
        </w:rPr>
        <w:t>containers</w:t>
      </w:r>
      <w:r w:rsidRPr="00C207DA">
        <w:t xml:space="preserve"> shall be stored in an upright position, and </w:t>
      </w:r>
      <w:r w:rsidR="00A078C3">
        <w:t xml:space="preserve">only </w:t>
      </w:r>
      <w:r w:rsidRPr="00C207DA">
        <w:t xml:space="preserve">with </w:t>
      </w:r>
      <w:r w:rsidR="00A078C3">
        <w:t xml:space="preserve">other </w:t>
      </w:r>
      <w:r w:rsidRPr="00C207DA">
        <w:t>compatible chemicals;</w:t>
      </w:r>
    </w:p>
    <w:p w14:paraId="2149E298" w14:textId="77777777" w:rsidR="00B01CE7" w:rsidRDefault="007C3CFD">
      <w:pPr>
        <w:pStyle w:val="Note"/>
        <w:tabs>
          <w:tab w:val="clear" w:pos="1980"/>
          <w:tab w:val="left" w:pos="1620"/>
        </w:tabs>
        <w:ind w:left="1620"/>
        <w:jc w:val="left"/>
        <w:rPr>
          <w:rFonts w:ascii="Arial" w:hAnsi="Arial" w:cs="Arial"/>
        </w:rPr>
      </w:pPr>
      <w:r w:rsidRPr="00C207DA">
        <w:rPr>
          <w:rFonts w:ascii="Arial" w:hAnsi="Arial" w:cs="Arial"/>
        </w:rPr>
        <w:t xml:space="preserve">Non-compatible chemicals may be stored inside the same area or room when individual cabinets, barriers or separation distances (in accordance with local, state or national laws, codes or regulations) are provided.   </w:t>
      </w:r>
    </w:p>
    <w:p w14:paraId="2149E299" w14:textId="77777777" w:rsidR="00B01CE7" w:rsidRDefault="007C3CFD">
      <w:pPr>
        <w:pStyle w:val="Heading3"/>
      </w:pPr>
      <w:r w:rsidRPr="00C207DA">
        <w:t xml:space="preserve">When not in use, chemical </w:t>
      </w:r>
      <w:r w:rsidR="00C7148E" w:rsidRPr="00C7148E">
        <w:rPr>
          <w:b/>
        </w:rPr>
        <w:t>containers</w:t>
      </w:r>
      <w:r w:rsidRPr="00C207DA">
        <w:t xml:space="preserve"> shall be closed (i.e. </w:t>
      </w:r>
      <w:r w:rsidR="00A078C3">
        <w:t xml:space="preserve">container </w:t>
      </w:r>
      <w:r w:rsidR="00FB69FF">
        <w:t xml:space="preserve">lids, covers, bungs, etc. secured </w:t>
      </w:r>
      <w:r w:rsidRPr="00C207DA">
        <w:t>in place);</w:t>
      </w:r>
    </w:p>
    <w:p w14:paraId="2149E29A" w14:textId="77777777" w:rsidR="00B01CE7" w:rsidRDefault="007C3CFD">
      <w:pPr>
        <w:pStyle w:val="Heading3"/>
      </w:pPr>
      <w:r w:rsidRPr="00C207DA">
        <w:t xml:space="preserve">When not stored in areas designed for chemical storage, flammable and combustible liquids shall be stored in </w:t>
      </w:r>
      <w:r w:rsidR="00E21058">
        <w:t xml:space="preserve">cabinets or workstations designed for </w:t>
      </w:r>
      <w:r w:rsidR="00344BE7">
        <w:t>flammable or combustible</w:t>
      </w:r>
      <w:r w:rsidR="00FB69FF">
        <w:t xml:space="preserve"> </w:t>
      </w:r>
      <w:r w:rsidR="00E21058">
        <w:t>storage</w:t>
      </w:r>
      <w:r w:rsidRPr="00C207DA">
        <w:t>;</w:t>
      </w:r>
    </w:p>
    <w:p w14:paraId="2149E29B" w14:textId="77777777" w:rsidR="00B01CE7" w:rsidRDefault="007C3CFD">
      <w:pPr>
        <w:pStyle w:val="Heading3"/>
      </w:pPr>
      <w:r w:rsidRPr="00C207DA">
        <w:t xml:space="preserve">Chemicals shall not be stored under pressure in </w:t>
      </w:r>
      <w:r w:rsidR="00C7148E" w:rsidRPr="00C7148E">
        <w:rPr>
          <w:b/>
        </w:rPr>
        <w:t>tanks</w:t>
      </w:r>
      <w:r w:rsidRPr="00C207DA">
        <w:t xml:space="preserve"> or </w:t>
      </w:r>
      <w:r w:rsidR="00C7148E" w:rsidRPr="00C7148E">
        <w:rPr>
          <w:b/>
        </w:rPr>
        <w:t>containers</w:t>
      </w:r>
      <w:r w:rsidRPr="00C207DA">
        <w:t>, unless the tank or container has been designed for such use and allows emergency venting in the event of over-pressurization;</w:t>
      </w:r>
    </w:p>
    <w:p w14:paraId="2149E29C" w14:textId="77777777" w:rsidR="00B01CE7" w:rsidRDefault="007C3CFD">
      <w:pPr>
        <w:pStyle w:val="Heading3"/>
      </w:pPr>
      <w:r w:rsidRPr="00C207DA">
        <w:t xml:space="preserve">Residue-empty chemical </w:t>
      </w:r>
      <w:r w:rsidR="00C7148E" w:rsidRPr="00C7148E">
        <w:rPr>
          <w:b/>
        </w:rPr>
        <w:t>containers</w:t>
      </w:r>
      <w:r w:rsidRPr="00C207DA">
        <w:t xml:space="preserve"> shall be </w:t>
      </w:r>
      <w:r w:rsidR="00D26A92">
        <w:t>managed with the same safety requirements</w:t>
      </w:r>
      <w:r w:rsidR="00D26A92" w:rsidRPr="00C207DA">
        <w:t xml:space="preserve"> </w:t>
      </w:r>
      <w:r w:rsidRPr="00C207DA">
        <w:t xml:space="preserve">as </w:t>
      </w:r>
      <w:r w:rsidR="00D26A92">
        <w:t>when</w:t>
      </w:r>
      <w:r w:rsidR="00D26A92" w:rsidRPr="00C207DA">
        <w:t xml:space="preserve"> </w:t>
      </w:r>
      <w:r w:rsidRPr="00C207DA">
        <w:t>they were full, and stored accordingly, until disposed or recycled</w:t>
      </w:r>
      <w:r w:rsidR="00E21058">
        <w:t xml:space="preserve">. </w:t>
      </w:r>
      <w:r w:rsidR="004419D5">
        <w:t xml:space="preserve"> See </w:t>
      </w:r>
      <w:r w:rsidR="00E21058">
        <w:t xml:space="preserve">the exception </w:t>
      </w:r>
      <w:r w:rsidR="00FB69FF">
        <w:t xml:space="preserve">for spill control </w:t>
      </w:r>
      <w:r w:rsidR="00E21058">
        <w:t>at</w:t>
      </w:r>
      <w:r w:rsidR="004419D5">
        <w:t xml:space="preserve"> 5.6.2.1.  </w:t>
      </w:r>
    </w:p>
    <w:p w14:paraId="2149E29D" w14:textId="77777777" w:rsidR="00B01CE7" w:rsidRDefault="00A078C3">
      <w:pPr>
        <w:pStyle w:val="Heading3"/>
      </w:pPr>
      <w:r>
        <w:t>When not in process use, c</w:t>
      </w:r>
      <w:r w:rsidR="00D26A92" w:rsidRPr="00C207DA">
        <w:t>hemical drums shall be placed on and secured to pallets</w:t>
      </w:r>
      <w:r w:rsidR="00D26A92">
        <w:t xml:space="preserve"> (or equivalent unitizing devices)</w:t>
      </w:r>
      <w:r w:rsidR="00D26A92" w:rsidRPr="00C207DA">
        <w:t xml:space="preserve">, or placed on fixed </w:t>
      </w:r>
      <w:r w:rsidR="00D26A92">
        <w:t xml:space="preserve">storage </w:t>
      </w:r>
      <w:r w:rsidR="00D26A92" w:rsidRPr="00C207DA">
        <w:t>shelving and secured</w:t>
      </w:r>
      <w:r w:rsidR="007C3CFD" w:rsidRPr="00C207DA">
        <w:t xml:space="preserve">; </w:t>
      </w:r>
    </w:p>
    <w:p w14:paraId="2149E29E" w14:textId="77777777" w:rsidR="00B01CE7" w:rsidRDefault="00D47F60">
      <w:pPr>
        <w:pStyle w:val="Note"/>
        <w:numPr>
          <w:ilvl w:val="0"/>
          <w:numId w:val="0"/>
        </w:numPr>
        <w:ind w:left="1620"/>
        <w:rPr>
          <w:rFonts w:ascii="Arial" w:hAnsi="Arial" w:cs="Arial"/>
        </w:rPr>
      </w:pPr>
      <w:r>
        <w:rPr>
          <w:rFonts w:ascii="Arial" w:hAnsi="Arial" w:cs="Arial"/>
        </w:rPr>
        <w:t xml:space="preserve">Note:  </w:t>
      </w:r>
      <w:r w:rsidR="007C3CFD" w:rsidRPr="00C207DA">
        <w:rPr>
          <w:rFonts w:ascii="Arial" w:hAnsi="Arial" w:cs="Arial"/>
        </w:rPr>
        <w:t>Chemical drums</w:t>
      </w:r>
      <w:r w:rsidR="00FB69FF">
        <w:rPr>
          <w:rFonts w:ascii="Arial" w:hAnsi="Arial" w:cs="Arial"/>
        </w:rPr>
        <w:t xml:space="preserve"> on pallets</w:t>
      </w:r>
      <w:r w:rsidR="007C3CFD" w:rsidRPr="00C207DA">
        <w:rPr>
          <w:rFonts w:ascii="Arial" w:hAnsi="Arial" w:cs="Arial"/>
        </w:rPr>
        <w:t>, if stacked, shall be no more than two levels high.</w:t>
      </w:r>
    </w:p>
    <w:p w14:paraId="2149E29F" w14:textId="77777777" w:rsidR="00B01CE7" w:rsidRDefault="007C3CFD">
      <w:pPr>
        <w:pStyle w:val="Heading3"/>
      </w:pPr>
      <w:r w:rsidRPr="00C207DA">
        <w:t>Chemical quantities in individual work areas shall be limited to the smallest reasonable quantity to allow efficient shift operations.</w:t>
      </w:r>
    </w:p>
    <w:p w14:paraId="2149E2A0" w14:textId="77777777" w:rsidR="007C3CFD" w:rsidRPr="00C207DA" w:rsidRDefault="007C3CFD" w:rsidP="00C207DA">
      <w:pPr>
        <w:rPr>
          <w:rFonts w:ascii="Arial" w:hAnsi="Arial" w:cs="Arial"/>
        </w:rPr>
      </w:pPr>
      <w:r w:rsidRPr="00C207DA">
        <w:rPr>
          <w:rFonts w:ascii="Arial" w:hAnsi="Arial" w:cs="Arial"/>
        </w:rPr>
        <w:t> </w:t>
      </w:r>
    </w:p>
    <w:p w14:paraId="2149E2A1" w14:textId="77777777" w:rsidR="00B01CE7" w:rsidRDefault="007C3CFD">
      <w:pPr>
        <w:pStyle w:val="Heading2"/>
      </w:pPr>
      <w:bookmarkStart w:id="27" w:name="_Toc73429286"/>
      <w:bookmarkStart w:id="28" w:name="_Toc289954594"/>
      <w:bookmarkStart w:id="29" w:name="_Toc319425039"/>
      <w:r w:rsidRPr="00C207DA">
        <w:t>Chemical Storage</w:t>
      </w:r>
      <w:bookmarkEnd w:id="27"/>
      <w:r w:rsidRPr="00C207DA">
        <w:t xml:space="preserve"> and Dispensing Rooms</w:t>
      </w:r>
      <w:bookmarkEnd w:id="28"/>
      <w:bookmarkEnd w:id="29"/>
    </w:p>
    <w:p w14:paraId="2149E2A2" w14:textId="77777777" w:rsidR="00C62275" w:rsidRDefault="007C3CFD">
      <w:pPr>
        <w:pStyle w:val="Heading3"/>
        <w:numPr>
          <w:ilvl w:val="0"/>
          <w:numId w:val="0"/>
        </w:numPr>
        <w:ind w:left="990"/>
      </w:pPr>
      <w:r w:rsidRPr="00C207DA">
        <w:t xml:space="preserve">Sites shall ensure that chemical storage and dispensing rooms:  </w:t>
      </w:r>
    </w:p>
    <w:p w14:paraId="2149E2A3" w14:textId="77777777" w:rsidR="00B01CE7" w:rsidRDefault="007C3CFD">
      <w:pPr>
        <w:pStyle w:val="Heading3"/>
      </w:pPr>
      <w:r w:rsidRPr="00C207DA">
        <w:t>Limit access by unauthorized personnel;</w:t>
      </w:r>
    </w:p>
    <w:p w14:paraId="2149E2A4" w14:textId="546A3E13" w:rsidR="00B01CE7" w:rsidRDefault="007C3CFD">
      <w:pPr>
        <w:pStyle w:val="Heading3"/>
      </w:pPr>
      <w:r w:rsidRPr="00C207DA">
        <w:t xml:space="preserve">Containing Hazardous Production Materials (HPMs) shall be provided with two or more exits as necessary to provide safe and effective egress during an emergency and meet the requirements set forth in </w:t>
      </w:r>
      <w:r w:rsidR="00993E16" w:rsidRPr="00993E16">
        <w:rPr>
          <w:rFonts w:eastAsia="MS Mincho"/>
        </w:rPr>
        <w:t>TI ESH Standard 05.01: “Egress and Evacuations”</w:t>
      </w:r>
      <w:r w:rsidRPr="00C207DA">
        <w:t xml:space="preserve">. </w:t>
      </w:r>
    </w:p>
    <w:p w14:paraId="2149E2A5" w14:textId="77777777" w:rsidR="007C3CFD" w:rsidRPr="00C207DA" w:rsidRDefault="007C3CFD" w:rsidP="00D47F60">
      <w:pPr>
        <w:pStyle w:val="Heading4"/>
        <w:tabs>
          <w:tab w:val="num" w:pos="2340"/>
        </w:tabs>
        <w:ind w:left="2340" w:hanging="720"/>
      </w:pPr>
      <w:r w:rsidRPr="00C207DA">
        <w:t>Exit doors shall open in the direction of travel from the room;</w:t>
      </w:r>
    </w:p>
    <w:p w14:paraId="2149E2A6" w14:textId="77777777" w:rsidR="007C3CFD" w:rsidRPr="00C207DA" w:rsidRDefault="007C3CFD" w:rsidP="00D47F60">
      <w:pPr>
        <w:pStyle w:val="Heading4"/>
        <w:tabs>
          <w:tab w:val="num" w:pos="2340"/>
        </w:tabs>
        <w:ind w:left="2340" w:hanging="720"/>
      </w:pPr>
      <w:r w:rsidRPr="00C207DA">
        <w:t>Exit doors shall have automatic closing devices;</w:t>
      </w:r>
    </w:p>
    <w:p w14:paraId="2149E2A7" w14:textId="77777777" w:rsidR="007C3CFD" w:rsidRPr="00C207DA" w:rsidRDefault="007C3CFD" w:rsidP="00D47F60">
      <w:pPr>
        <w:pStyle w:val="Heading4"/>
        <w:tabs>
          <w:tab w:val="num" w:pos="2340"/>
        </w:tabs>
        <w:ind w:left="2340" w:hanging="720"/>
      </w:pPr>
      <w:r w:rsidRPr="00C207DA">
        <w:t xml:space="preserve">Exit doors shall be provided with </w:t>
      </w:r>
      <w:r w:rsidR="00C7148E" w:rsidRPr="00C7148E">
        <w:rPr>
          <w:b/>
        </w:rPr>
        <w:t>panic hardware</w:t>
      </w:r>
      <w:r w:rsidRPr="00C207DA">
        <w:t>.</w:t>
      </w:r>
    </w:p>
    <w:p w14:paraId="2149E2A8" w14:textId="77777777" w:rsidR="00B01CE7" w:rsidRDefault="007C3CFD">
      <w:pPr>
        <w:pStyle w:val="Heading3"/>
      </w:pPr>
      <w:r w:rsidRPr="00C207DA">
        <w:t>Are provided with emergency control systems, such as leak detection and fire protection;</w:t>
      </w:r>
    </w:p>
    <w:p w14:paraId="2149E2A9" w14:textId="77777777" w:rsidR="00B01CE7" w:rsidRDefault="007C3CFD">
      <w:pPr>
        <w:pStyle w:val="Heading3"/>
      </w:pPr>
      <w:r w:rsidRPr="00C207DA">
        <w:t xml:space="preserve">Are provided with ventilation, at a rate not less than one cubic foot per minute per square feet of floor area (0.30 cubic meters per minute per square meter) or six air changes per hour, whichever is greater, to prevent the accumulation of vapors or fumes, when they contain HPMs; </w:t>
      </w:r>
    </w:p>
    <w:p w14:paraId="2149E2AA" w14:textId="77777777" w:rsidR="00B01CE7" w:rsidRDefault="007C3CFD">
      <w:pPr>
        <w:pStyle w:val="Heading3"/>
      </w:pPr>
      <w:r w:rsidRPr="00C207DA">
        <w:t xml:space="preserve">Shall be located a minimum of 50 feet (15.2 meters) away from property lines, or at distances approved by the local </w:t>
      </w:r>
      <w:r w:rsidR="00C7148E" w:rsidRPr="00C7148E">
        <w:rPr>
          <w:b/>
        </w:rPr>
        <w:t>Authority Having Jurisdiction</w:t>
      </w:r>
      <w:r w:rsidR="00D45767">
        <w:t xml:space="preserve"> (</w:t>
      </w:r>
      <w:r w:rsidR="00C7148E" w:rsidRPr="00C7148E">
        <w:rPr>
          <w:b/>
        </w:rPr>
        <w:t>AHJ</w:t>
      </w:r>
      <w:r w:rsidR="00D45767">
        <w:t>)</w:t>
      </w:r>
      <w:r w:rsidRPr="00C207DA">
        <w:t>.</w:t>
      </w:r>
    </w:p>
    <w:p w14:paraId="2149E2AB" w14:textId="77777777" w:rsidR="007C3CFD" w:rsidRPr="00C207DA" w:rsidRDefault="007C3CFD" w:rsidP="00C207DA">
      <w:pPr>
        <w:ind w:left="990"/>
        <w:rPr>
          <w:rFonts w:ascii="Arial" w:hAnsi="Arial" w:cs="Arial"/>
        </w:rPr>
      </w:pPr>
    </w:p>
    <w:p w14:paraId="2149E2AC" w14:textId="77777777" w:rsidR="00B01CE7" w:rsidRDefault="007C3CFD">
      <w:pPr>
        <w:pStyle w:val="Heading2"/>
      </w:pPr>
      <w:bookmarkStart w:id="30" w:name="_Toc73429289"/>
      <w:bookmarkStart w:id="31" w:name="_Toc289954595"/>
      <w:bookmarkStart w:id="32" w:name="_Toc319425040"/>
      <w:r w:rsidRPr="00C207DA">
        <w:t>Chemical Dispensing</w:t>
      </w:r>
      <w:bookmarkEnd w:id="30"/>
      <w:bookmarkEnd w:id="31"/>
      <w:bookmarkEnd w:id="32"/>
      <w:r w:rsidRPr="00C207DA">
        <w:t xml:space="preserve"> </w:t>
      </w:r>
    </w:p>
    <w:p w14:paraId="2149E2AD" w14:textId="77777777" w:rsidR="007C3CFD" w:rsidRPr="00C207DA" w:rsidRDefault="007C3CFD" w:rsidP="00C207DA">
      <w:pPr>
        <w:ind w:firstLine="990"/>
        <w:rPr>
          <w:rFonts w:ascii="Arial" w:hAnsi="Arial" w:cs="Arial"/>
        </w:rPr>
      </w:pPr>
      <w:r w:rsidRPr="00C207DA">
        <w:rPr>
          <w:rFonts w:ascii="Arial" w:hAnsi="Arial" w:cs="Arial"/>
        </w:rPr>
        <w:t>Sites shall ensure that chemical dispensing complies with the following:</w:t>
      </w:r>
    </w:p>
    <w:p w14:paraId="2149E2AE" w14:textId="77777777" w:rsidR="00B01CE7" w:rsidRDefault="007C3CFD">
      <w:pPr>
        <w:pStyle w:val="Heading3"/>
      </w:pPr>
      <w:r w:rsidRPr="00C207DA">
        <w:t xml:space="preserve">Chemicals shall only be dispensed in areas provided with adequate ventilation as described in section </w:t>
      </w:r>
      <w:r w:rsidR="00A078C3">
        <w:t>5.3</w:t>
      </w:r>
      <w:r w:rsidRPr="00C207DA">
        <w:t>;</w:t>
      </w:r>
    </w:p>
    <w:p w14:paraId="2149E2AF" w14:textId="77777777" w:rsidR="00B01CE7" w:rsidRDefault="007C3CFD">
      <w:pPr>
        <w:pStyle w:val="Heading3"/>
      </w:pPr>
      <w:r w:rsidRPr="00C207DA">
        <w:t xml:space="preserve">Flammable or combustible liquids shall be dispensed from locations conforming to </w:t>
      </w:r>
      <w:r w:rsidR="00C7148E" w:rsidRPr="00C7148E">
        <w:rPr>
          <w:b/>
        </w:rPr>
        <w:t>Class I Division 2</w:t>
      </w:r>
      <w:r w:rsidRPr="00C207DA">
        <w:t xml:space="preserve"> requirements per National Fire Protection Association (NFPA) codes, or equivalent local, state or national laws, codes or regulations;</w:t>
      </w:r>
    </w:p>
    <w:p w14:paraId="2149E2B0" w14:textId="77777777" w:rsidR="00B01CE7" w:rsidRDefault="007C3CFD">
      <w:pPr>
        <w:pStyle w:val="Heading3"/>
      </w:pPr>
      <w:r w:rsidRPr="00C207DA">
        <w:t xml:space="preserve">Flammable or combustible liquids shall not be dispensed by gravity from or to </w:t>
      </w:r>
      <w:r w:rsidR="00C7148E" w:rsidRPr="00C7148E">
        <w:rPr>
          <w:b/>
        </w:rPr>
        <w:t>tanks</w:t>
      </w:r>
      <w:r w:rsidRPr="00C207DA">
        <w:t xml:space="preserve">, drums, barrels or similar </w:t>
      </w:r>
      <w:r w:rsidR="00C7148E" w:rsidRPr="00C7148E">
        <w:rPr>
          <w:b/>
        </w:rPr>
        <w:t>containers</w:t>
      </w:r>
      <w:r w:rsidRPr="00C207DA">
        <w:t>;</w:t>
      </w:r>
    </w:p>
    <w:p w14:paraId="2149E2B1" w14:textId="77777777" w:rsidR="00B01CE7" w:rsidRDefault="007C3CFD">
      <w:pPr>
        <w:pStyle w:val="Heading3"/>
      </w:pPr>
      <w:r w:rsidRPr="00C207DA">
        <w:t>Vessels used for mixing or blending of flammable or combustible liquids shall be provided with self-closing, tight fitting, noncombustible lids that will control a fire within such vessel, and</w:t>
      </w:r>
    </w:p>
    <w:p w14:paraId="2149E2B2" w14:textId="77777777" w:rsidR="00B01CE7" w:rsidRDefault="007C3CFD">
      <w:pPr>
        <w:pStyle w:val="Heading3"/>
      </w:pPr>
      <w:r w:rsidRPr="00C207DA">
        <w:t xml:space="preserve">Flammable and combustible liquid </w:t>
      </w:r>
      <w:r w:rsidR="00C7148E" w:rsidRPr="00C7148E">
        <w:rPr>
          <w:b/>
        </w:rPr>
        <w:t>containers</w:t>
      </w:r>
      <w:r w:rsidRPr="00C207DA">
        <w:t xml:space="preserve"> shall be in accordance with Appendix </w:t>
      </w:r>
      <w:r>
        <w:t>A</w:t>
      </w:r>
      <w:r w:rsidRPr="00C207DA">
        <w:t xml:space="preserve">, except that glass or plastic </w:t>
      </w:r>
      <w:r w:rsidR="00C7148E" w:rsidRPr="00C7148E">
        <w:rPr>
          <w:b/>
        </w:rPr>
        <w:t>containers</w:t>
      </w:r>
      <w:r w:rsidRPr="00C207DA">
        <w:t xml:space="preserve"> of no more than 1-gallon (3.8 liters) capacity may be used for a Class IA or IB flammable liquids. </w:t>
      </w:r>
    </w:p>
    <w:p w14:paraId="2149E2B3" w14:textId="77777777" w:rsidR="00B01CE7" w:rsidRDefault="007C3CFD">
      <w:pPr>
        <w:pStyle w:val="Heading4"/>
        <w:tabs>
          <w:tab w:val="num" w:pos="2340"/>
        </w:tabs>
        <w:ind w:left="2340" w:hanging="720"/>
      </w:pPr>
      <w:r w:rsidRPr="00C207DA">
        <w:t xml:space="preserve">Where utilized, glass chemical </w:t>
      </w:r>
      <w:r w:rsidR="00C7148E" w:rsidRPr="00C7148E">
        <w:rPr>
          <w:b/>
        </w:rPr>
        <w:t>containers</w:t>
      </w:r>
      <w:r w:rsidRPr="00C207DA">
        <w:t xml:space="preserve"> shall be coated to prevent shattering.</w:t>
      </w:r>
    </w:p>
    <w:p w14:paraId="2149E2B4" w14:textId="77777777" w:rsidR="00B01CE7" w:rsidRDefault="007C3CFD">
      <w:pPr>
        <w:pStyle w:val="Heading3"/>
      </w:pPr>
      <w:r w:rsidRPr="00C207DA">
        <w:t xml:space="preserve">Flammable liquids shall not be transferred into </w:t>
      </w:r>
      <w:r w:rsidR="00C7148E" w:rsidRPr="00C7148E">
        <w:rPr>
          <w:b/>
        </w:rPr>
        <w:t>containers</w:t>
      </w:r>
      <w:r w:rsidRPr="00C207DA">
        <w:t xml:space="preserve"> unless the transferring nozzle and container are electrically bonded and the container is grounded.</w:t>
      </w:r>
    </w:p>
    <w:p w14:paraId="2149E2B5" w14:textId="77777777" w:rsidR="007C3CFD" w:rsidRPr="00C207DA" w:rsidRDefault="007C3CFD" w:rsidP="00C207DA">
      <w:pPr>
        <w:ind w:left="990"/>
        <w:rPr>
          <w:rFonts w:ascii="Arial" w:hAnsi="Arial" w:cs="Arial"/>
        </w:rPr>
      </w:pPr>
      <w:r w:rsidRPr="00C207DA">
        <w:rPr>
          <w:rFonts w:ascii="Arial" w:hAnsi="Arial" w:cs="Arial"/>
        </w:rPr>
        <w:t xml:space="preserve"> </w:t>
      </w:r>
    </w:p>
    <w:p w14:paraId="2149E2B6" w14:textId="77777777" w:rsidR="00B01CE7" w:rsidRDefault="007C3CFD">
      <w:pPr>
        <w:pStyle w:val="Heading2"/>
      </w:pPr>
      <w:bookmarkStart w:id="33" w:name="_Toc73429287"/>
      <w:bookmarkStart w:id="34" w:name="_Toc289954596"/>
      <w:bookmarkStart w:id="35" w:name="_Toc319425041"/>
      <w:r w:rsidRPr="00C207DA">
        <w:t>Chemical Storage Cabinets</w:t>
      </w:r>
      <w:bookmarkEnd w:id="33"/>
      <w:bookmarkEnd w:id="34"/>
      <w:bookmarkEnd w:id="35"/>
      <w:r w:rsidRPr="00C207DA">
        <w:t xml:space="preserve"> </w:t>
      </w:r>
    </w:p>
    <w:p w14:paraId="2149E2B7" w14:textId="77777777" w:rsidR="007C3CFD" w:rsidRPr="00C207DA" w:rsidRDefault="007C3CFD" w:rsidP="00C207DA">
      <w:pPr>
        <w:ind w:firstLine="990"/>
        <w:rPr>
          <w:rFonts w:ascii="Arial" w:hAnsi="Arial" w:cs="Arial"/>
        </w:rPr>
      </w:pPr>
      <w:r w:rsidRPr="00C207DA">
        <w:rPr>
          <w:rFonts w:ascii="Arial" w:hAnsi="Arial" w:cs="Arial"/>
        </w:rPr>
        <w:t>Sites shall ensure that chemical storage cabinets comply with the following:</w:t>
      </w:r>
    </w:p>
    <w:p w14:paraId="2149E2B8" w14:textId="77777777" w:rsidR="00B01CE7" w:rsidRDefault="007C3CFD">
      <w:pPr>
        <w:pStyle w:val="Heading3"/>
      </w:pPr>
      <w:r w:rsidRPr="00C207DA">
        <w:t>The cabinets are compatible with the chemicals they contain and are approved for the specific use;</w:t>
      </w:r>
    </w:p>
    <w:p w14:paraId="2149E2B9" w14:textId="77777777" w:rsidR="00B01CE7" w:rsidRDefault="007C3CFD">
      <w:pPr>
        <w:pStyle w:val="Heading3"/>
      </w:pPr>
      <w:r w:rsidRPr="00C207DA">
        <w:t xml:space="preserve">Cabinets shall be made of metal unless otherwise approved by the local </w:t>
      </w:r>
      <w:r w:rsidR="00C7148E" w:rsidRPr="00C7148E">
        <w:rPr>
          <w:b/>
        </w:rPr>
        <w:t>AHJ</w:t>
      </w:r>
      <w:r w:rsidRPr="00C207DA">
        <w:t xml:space="preserve"> (cabinets used to store flammable or combustible chemicals must be constructed of non-combustible materials);</w:t>
      </w:r>
    </w:p>
    <w:p w14:paraId="2149E2BA" w14:textId="77777777" w:rsidR="00B01CE7" w:rsidRDefault="007C3CFD">
      <w:pPr>
        <w:pStyle w:val="Heading3"/>
      </w:pPr>
      <w:r w:rsidRPr="00C207DA">
        <w:t>The doors must be equipped with a latching mechanism to keep doors closed (this does not include sliding doors); and</w:t>
      </w:r>
    </w:p>
    <w:p w14:paraId="2149E2BB" w14:textId="77777777" w:rsidR="007C3CFD" w:rsidRPr="00C207DA" w:rsidRDefault="007C3CFD" w:rsidP="00D47F60">
      <w:pPr>
        <w:pStyle w:val="Heading4"/>
        <w:tabs>
          <w:tab w:val="num" w:pos="2340"/>
        </w:tabs>
        <w:ind w:left="2340" w:hanging="720"/>
      </w:pPr>
      <w:r w:rsidRPr="00C207DA">
        <w:t xml:space="preserve">Cabinet doors must remain closed, except when removing or replacing chemical </w:t>
      </w:r>
      <w:r w:rsidR="00C7148E" w:rsidRPr="00C7148E">
        <w:rPr>
          <w:b/>
        </w:rPr>
        <w:t>containers</w:t>
      </w:r>
      <w:r w:rsidRPr="00C207DA">
        <w:t>;</w:t>
      </w:r>
    </w:p>
    <w:p w14:paraId="2149E2BC" w14:textId="77777777" w:rsidR="007C3CFD" w:rsidRPr="00C207DA" w:rsidRDefault="007C3CFD" w:rsidP="00D47F60">
      <w:pPr>
        <w:pStyle w:val="Heading4"/>
        <w:tabs>
          <w:tab w:val="num" w:pos="2340"/>
        </w:tabs>
        <w:ind w:left="2340" w:hanging="720"/>
      </w:pPr>
      <w:r w:rsidRPr="00C207DA">
        <w:t>The doors must be maintained in good working condition (handles, hinges, materials of construction);</w:t>
      </w:r>
    </w:p>
    <w:p w14:paraId="2149E2BD" w14:textId="77777777" w:rsidR="00B01CE7" w:rsidRDefault="007C3CFD">
      <w:pPr>
        <w:pStyle w:val="Heading3"/>
      </w:pPr>
      <w:r w:rsidRPr="00C207DA">
        <w:t>The cabinets shall be capable of retaining a spill (i.e. a full release) from the largest container within the cabinet;</w:t>
      </w:r>
    </w:p>
    <w:p w14:paraId="2149E2BE" w14:textId="77777777" w:rsidR="00B01CE7" w:rsidRDefault="007C3CFD">
      <w:pPr>
        <w:pStyle w:val="Heading3"/>
      </w:pPr>
      <w:r w:rsidRPr="00C207DA">
        <w:t>Chemical storage cabinets shall be marked with the category of chemicals allowed to be stored in the cabinet (e.g. Flammables and Combustibles, Acids, etc.).</w:t>
      </w:r>
    </w:p>
    <w:p w14:paraId="2149E2BF" w14:textId="77777777" w:rsidR="00B01CE7" w:rsidRDefault="00B01CE7">
      <w:pPr>
        <w:pStyle w:val="Heading3"/>
        <w:numPr>
          <w:ilvl w:val="0"/>
          <w:numId w:val="0"/>
        </w:numPr>
        <w:ind w:left="1620"/>
      </w:pPr>
    </w:p>
    <w:p w14:paraId="2149E2C0" w14:textId="77777777" w:rsidR="00B01CE7" w:rsidRDefault="007C3CFD">
      <w:pPr>
        <w:pStyle w:val="Heading2"/>
      </w:pPr>
      <w:bookmarkStart w:id="36" w:name="_Toc127333357"/>
      <w:bookmarkStart w:id="37" w:name="_Toc289954597"/>
      <w:bookmarkStart w:id="38" w:name="_Toc319425042"/>
      <w:bookmarkEnd w:id="36"/>
      <w:r w:rsidRPr="00C207DA">
        <w:t xml:space="preserve">General Requirements for </w:t>
      </w:r>
      <w:r w:rsidR="00C7148E" w:rsidRPr="00C7148E">
        <w:rPr>
          <w:b/>
        </w:rPr>
        <w:t>Spill Control Facilities</w:t>
      </w:r>
      <w:bookmarkEnd w:id="37"/>
      <w:bookmarkEnd w:id="38"/>
    </w:p>
    <w:p w14:paraId="2149E2C1" w14:textId="77777777" w:rsidR="00C62275" w:rsidRDefault="007C3CFD">
      <w:pPr>
        <w:pStyle w:val="Heading3"/>
      </w:pPr>
      <w:r w:rsidRPr="00C207DA">
        <w:t>Design</w:t>
      </w:r>
    </w:p>
    <w:p w14:paraId="2149E2C2" w14:textId="77777777" w:rsidR="00432D48" w:rsidRDefault="00C7148E" w:rsidP="00151C0D">
      <w:pPr>
        <w:pStyle w:val="Heading4"/>
        <w:ind w:left="2340" w:hanging="720"/>
      </w:pPr>
      <w:r w:rsidRPr="00C7148E">
        <w:rPr>
          <w:b/>
        </w:rPr>
        <w:t>Secondary containment structure</w:t>
      </w:r>
      <w:r w:rsidR="007C3CFD" w:rsidRPr="00C207DA">
        <w:t xml:space="preserve"> materials, liners and/or protective coatings shall be compatible with the contained chemicals and impermeable to leakage or migration of any spills through to the ground or support foundation.  </w:t>
      </w:r>
    </w:p>
    <w:p w14:paraId="2149E2C3" w14:textId="77777777" w:rsidR="00432D48" w:rsidRDefault="00C7148E" w:rsidP="00151C0D">
      <w:pPr>
        <w:pStyle w:val="Heading4"/>
        <w:ind w:left="2340" w:hanging="720"/>
      </w:pPr>
      <w:r w:rsidRPr="00C7148E">
        <w:rPr>
          <w:b/>
        </w:rPr>
        <w:t>Secondary containment structure</w:t>
      </w:r>
      <w:r w:rsidR="007C3CFD" w:rsidRPr="00C207DA">
        <w:t xml:space="preserve">s shall be designed in a manner that facilitates removal of liquid. </w:t>
      </w:r>
    </w:p>
    <w:p w14:paraId="2149E2C4" w14:textId="77777777" w:rsidR="00432D48" w:rsidRDefault="00C7148E" w:rsidP="00151C0D">
      <w:pPr>
        <w:pStyle w:val="Heading4"/>
        <w:ind w:left="2340" w:hanging="720"/>
      </w:pPr>
      <w:r w:rsidRPr="00C7148E">
        <w:rPr>
          <w:b/>
        </w:rPr>
        <w:t>Tank systems</w:t>
      </w:r>
      <w:r w:rsidR="007C3CFD" w:rsidRPr="00C207DA">
        <w:t xml:space="preserve"> installed after 9/01/1984 shall be aboveground and provided with secondary containment.  </w:t>
      </w:r>
    </w:p>
    <w:p w14:paraId="2149E2C5" w14:textId="77777777" w:rsidR="00B01CE7" w:rsidRDefault="007A1B24">
      <w:pPr>
        <w:pStyle w:val="Heading5"/>
        <w:numPr>
          <w:ilvl w:val="0"/>
          <w:numId w:val="0"/>
        </w:numPr>
        <w:ind w:left="2340"/>
      </w:pPr>
      <w:r>
        <w:t xml:space="preserve">Exception: </w:t>
      </w:r>
      <w:r w:rsidR="00C7148E" w:rsidRPr="00C7148E">
        <w:rPr>
          <w:b/>
        </w:rPr>
        <w:t>tank systems</w:t>
      </w:r>
      <w:r>
        <w:t xml:space="preserve"> for dispensing motor vehicle fuels, when equipped with secondary containment and leak detection systems.</w:t>
      </w:r>
    </w:p>
    <w:p w14:paraId="2149E2C6" w14:textId="77777777" w:rsidR="00C62275" w:rsidRDefault="007C3CFD">
      <w:pPr>
        <w:pStyle w:val="Heading3"/>
      </w:pPr>
      <w:r w:rsidRPr="00C207DA">
        <w:t>Practices</w:t>
      </w:r>
    </w:p>
    <w:p w14:paraId="2149E2C7" w14:textId="77777777" w:rsidR="00432D48" w:rsidRDefault="00C7148E" w:rsidP="00151C0D">
      <w:pPr>
        <w:pStyle w:val="Heading4"/>
        <w:ind w:left="2340" w:hanging="720"/>
      </w:pPr>
      <w:r w:rsidRPr="00C7148E">
        <w:rPr>
          <w:b/>
        </w:rPr>
        <w:t>Hazardous chemicals and materials</w:t>
      </w:r>
      <w:r w:rsidR="007C3CFD" w:rsidRPr="00C207DA">
        <w:t xml:space="preserve"> shall be stored in secondary containment when they are not in the process of movement between internal warehouses, building docks, storage areas, and / or points-of-use. </w:t>
      </w:r>
      <w:r w:rsidR="004419D5">
        <w:t xml:space="preserve">Exception: Residue-empty </w:t>
      </w:r>
      <w:r w:rsidRPr="00C7148E">
        <w:rPr>
          <w:b/>
        </w:rPr>
        <w:t>containers</w:t>
      </w:r>
      <w:r w:rsidR="004419D5">
        <w:t xml:space="preserve">. </w:t>
      </w:r>
      <w:r w:rsidR="007C3CFD" w:rsidRPr="00C207DA">
        <w:t xml:space="preserve"> </w:t>
      </w:r>
    </w:p>
    <w:p w14:paraId="2149E2C8" w14:textId="77777777" w:rsidR="00432D48" w:rsidRDefault="007C3CFD" w:rsidP="00151C0D">
      <w:pPr>
        <w:pStyle w:val="Heading4"/>
        <w:ind w:left="2340" w:hanging="720"/>
      </w:pPr>
      <w:r w:rsidRPr="00C207DA">
        <w:t>Leaks shall be stopped immediately upon discovery or when safe to do so, using appropriate isolation methods (e.g., valve isolation, blind flanges, material flow diversion, unit shutdown).</w:t>
      </w:r>
    </w:p>
    <w:p w14:paraId="2149E2C9" w14:textId="77777777" w:rsidR="00432D48" w:rsidRDefault="007C3CFD" w:rsidP="00151C0D">
      <w:pPr>
        <w:pStyle w:val="Heading4"/>
        <w:ind w:left="2340" w:hanging="720"/>
      </w:pPr>
      <w:r w:rsidRPr="00C207DA">
        <w:t xml:space="preserve">Spills or releases of </w:t>
      </w:r>
      <w:r w:rsidR="00C7148E" w:rsidRPr="00C7148E">
        <w:rPr>
          <w:b/>
        </w:rPr>
        <w:t>hazardous chemicals and materials</w:t>
      </w:r>
      <w:r w:rsidRPr="00C207DA">
        <w:t xml:space="preserve"> into a </w:t>
      </w:r>
      <w:r w:rsidR="00C7148E" w:rsidRPr="00C7148E">
        <w:rPr>
          <w:b/>
        </w:rPr>
        <w:t>secondary containment structure</w:t>
      </w:r>
      <w:r w:rsidRPr="00C207DA">
        <w:t xml:space="preserve"> shall be removed thoroughly and promptly, and equipment repairs completed as soon as practical, with the consideration of increased hazards for any repair delays.</w:t>
      </w:r>
    </w:p>
    <w:p w14:paraId="2149E2CA" w14:textId="77777777" w:rsidR="00432D48" w:rsidRDefault="007C3CFD" w:rsidP="00151C0D">
      <w:pPr>
        <w:pStyle w:val="Heading4"/>
        <w:ind w:left="2340" w:hanging="720"/>
      </w:pPr>
      <w:r w:rsidRPr="00C207DA">
        <w:t xml:space="preserve">Storm water that collects in </w:t>
      </w:r>
      <w:r w:rsidR="00C7148E" w:rsidRPr="00C7148E">
        <w:rPr>
          <w:b/>
        </w:rPr>
        <w:t>secondary containment structure</w:t>
      </w:r>
      <w:r w:rsidRPr="00C207DA">
        <w:t xml:space="preserve">s shall be evaluated and removed so that the secondary containment is </w:t>
      </w:r>
      <w:r w:rsidR="00C7148E" w:rsidRPr="00C7148E">
        <w:rPr>
          <w:b/>
        </w:rPr>
        <w:t>emptied</w:t>
      </w:r>
      <w:r w:rsidRPr="00C207DA">
        <w:t xml:space="preserve"> as soon as practical following the storm event, and no later than 24 hours after the storm event.  </w:t>
      </w:r>
    </w:p>
    <w:p w14:paraId="2149E2CB" w14:textId="77777777" w:rsidR="00432D48" w:rsidRDefault="00E87798" w:rsidP="00151C0D">
      <w:pPr>
        <w:pStyle w:val="Heading4"/>
        <w:ind w:left="2340" w:hanging="720"/>
      </w:pPr>
      <w:r>
        <w:t xml:space="preserve">Outdoor </w:t>
      </w:r>
      <w:r w:rsidR="00C7148E" w:rsidRPr="00C7148E">
        <w:rPr>
          <w:b/>
        </w:rPr>
        <w:t>secondary containment structure</w:t>
      </w:r>
      <w:r w:rsidR="00D26A92">
        <w:t>s</w:t>
      </w:r>
      <w:r>
        <w:t xml:space="preserve"> and the </w:t>
      </w:r>
      <w:r w:rsidR="00C7148E" w:rsidRPr="00C7148E">
        <w:rPr>
          <w:b/>
        </w:rPr>
        <w:t>tanks</w:t>
      </w:r>
      <w:r>
        <w:t xml:space="preserve"> or </w:t>
      </w:r>
      <w:r w:rsidR="00C7148E" w:rsidRPr="00C7148E">
        <w:rPr>
          <w:b/>
        </w:rPr>
        <w:t>containers</w:t>
      </w:r>
      <w:r>
        <w:t xml:space="preserve"> they enclose</w:t>
      </w:r>
      <w:r w:rsidR="007C3CFD" w:rsidRPr="00C207DA">
        <w:t xml:space="preserve"> shall be inspected daily for the presence of spills, leaks or releases</w:t>
      </w:r>
      <w:r w:rsidR="00925407">
        <w:t xml:space="preserve"> </w:t>
      </w:r>
      <w:r w:rsidR="006725DF">
        <w:t>and</w:t>
      </w:r>
      <w:r w:rsidR="007C3CFD" w:rsidRPr="00C207DA">
        <w:t xml:space="preserve"> conditions which would prevent the proper function of the </w:t>
      </w:r>
      <w:r w:rsidR="00C7148E" w:rsidRPr="00C7148E">
        <w:rPr>
          <w:b/>
        </w:rPr>
        <w:t>secondary containment structure</w:t>
      </w:r>
      <w:r w:rsidR="007C3CFD" w:rsidRPr="00C207DA">
        <w:t>.</w:t>
      </w:r>
    </w:p>
    <w:p w14:paraId="2149E2CC" w14:textId="77777777" w:rsidR="00B01CE7" w:rsidRDefault="006725DF">
      <w:pPr>
        <w:pStyle w:val="Note"/>
        <w:tabs>
          <w:tab w:val="clear" w:pos="1980"/>
        </w:tabs>
        <w:ind w:left="2340"/>
        <w:jc w:val="left"/>
        <w:rPr>
          <w:rFonts w:ascii="Arial" w:hAnsi="Arial" w:cs="Arial"/>
        </w:rPr>
      </w:pPr>
      <w:r>
        <w:rPr>
          <w:rFonts w:ascii="Arial" w:hAnsi="Arial" w:cs="Arial"/>
        </w:rPr>
        <w:t xml:space="preserve">Inspections </w:t>
      </w:r>
      <w:r w:rsidRPr="006725DF">
        <w:rPr>
          <w:rFonts w:ascii="Arial" w:hAnsi="Arial" w:cs="Arial"/>
        </w:rPr>
        <w:t xml:space="preserve">may </w:t>
      </w:r>
      <w:r w:rsidR="005D12BD">
        <w:rPr>
          <w:rFonts w:ascii="Arial" w:hAnsi="Arial" w:cs="Arial"/>
        </w:rPr>
        <w:t xml:space="preserve">be accomplished by </w:t>
      </w:r>
      <w:r w:rsidRPr="006725DF">
        <w:rPr>
          <w:rFonts w:ascii="Arial" w:hAnsi="Arial" w:cs="Arial"/>
        </w:rPr>
        <w:t>various approaches</w:t>
      </w:r>
      <w:r w:rsidR="005D12BD">
        <w:rPr>
          <w:rFonts w:ascii="Arial" w:hAnsi="Arial" w:cs="Arial"/>
        </w:rPr>
        <w:t xml:space="preserve"> or method(s)</w:t>
      </w:r>
      <w:r w:rsidRPr="006725DF">
        <w:rPr>
          <w:rFonts w:ascii="Arial" w:hAnsi="Arial" w:cs="Arial"/>
        </w:rPr>
        <w:t>: physical inspections by person</w:t>
      </w:r>
      <w:r>
        <w:rPr>
          <w:rFonts w:ascii="Arial" w:hAnsi="Arial" w:cs="Arial"/>
        </w:rPr>
        <w:t>nel</w:t>
      </w:r>
      <w:r w:rsidRPr="006725DF">
        <w:rPr>
          <w:rFonts w:ascii="Arial" w:hAnsi="Arial" w:cs="Arial"/>
        </w:rPr>
        <w:t>, liquid level switches/alarms, surveillance cameras, sensors</w:t>
      </w:r>
      <w:r>
        <w:rPr>
          <w:rFonts w:ascii="Arial" w:hAnsi="Arial" w:cs="Arial"/>
        </w:rPr>
        <w:t xml:space="preserve"> in combination </w:t>
      </w:r>
      <w:r w:rsidRPr="006725DF">
        <w:rPr>
          <w:rFonts w:ascii="Arial" w:hAnsi="Arial" w:cs="Arial"/>
        </w:rPr>
        <w:t>with response procedures</w:t>
      </w:r>
      <w:r>
        <w:rPr>
          <w:rFonts w:ascii="Arial" w:hAnsi="Arial" w:cs="Arial"/>
        </w:rPr>
        <w:t>, etc. The approach</w:t>
      </w:r>
      <w:r w:rsidR="005D12BD">
        <w:rPr>
          <w:rFonts w:ascii="Arial" w:hAnsi="Arial" w:cs="Arial"/>
        </w:rPr>
        <w:t>/method(s)</w:t>
      </w:r>
      <w:r>
        <w:rPr>
          <w:rFonts w:ascii="Arial" w:hAnsi="Arial" w:cs="Arial"/>
        </w:rPr>
        <w:t xml:space="preserve"> should be tailored to address the risk appropriate to the site conditions.</w:t>
      </w:r>
      <w:r w:rsidRPr="00C207DA">
        <w:rPr>
          <w:rFonts w:ascii="Arial" w:hAnsi="Arial" w:cs="Arial"/>
        </w:rPr>
        <w:t xml:space="preserve">   </w:t>
      </w:r>
    </w:p>
    <w:p w14:paraId="2149E2CD" w14:textId="77777777" w:rsidR="00432D48" w:rsidRDefault="007C3CFD" w:rsidP="00151C0D">
      <w:pPr>
        <w:pStyle w:val="Heading4"/>
        <w:ind w:left="2340" w:hanging="720"/>
      </w:pPr>
      <w:r w:rsidRPr="00C207DA">
        <w:t xml:space="preserve">Periodic maintenance shall be performed to ensure </w:t>
      </w:r>
      <w:r w:rsidR="00C7148E" w:rsidRPr="00C7148E">
        <w:rPr>
          <w:b/>
        </w:rPr>
        <w:t>secondary containment structure</w:t>
      </w:r>
      <w:r w:rsidRPr="00C207DA">
        <w:t xml:space="preserve">s are free of cracks or defects that would allow the migration of </w:t>
      </w:r>
      <w:r w:rsidR="00C7148E" w:rsidRPr="00C7148E">
        <w:rPr>
          <w:b/>
        </w:rPr>
        <w:t>hazardous chemicals and materials</w:t>
      </w:r>
      <w:r w:rsidRPr="00C207DA">
        <w:t>. Repairs shall be made promptly to maintain secondary containment integrity.</w:t>
      </w:r>
    </w:p>
    <w:p w14:paraId="2149E2CE" w14:textId="77777777" w:rsidR="00432D48" w:rsidRDefault="007C3CFD" w:rsidP="00151C0D">
      <w:pPr>
        <w:pStyle w:val="Heading4"/>
        <w:ind w:left="2340" w:hanging="720"/>
      </w:pPr>
      <w:r w:rsidRPr="00C207DA">
        <w:t xml:space="preserve">Where drainage valves are present on secondary containment, such valves shall remain in the closed position to prevent uncontrolled releases.  </w:t>
      </w:r>
    </w:p>
    <w:p w14:paraId="2149E2CF" w14:textId="77777777" w:rsidR="00432D48" w:rsidRDefault="007C3CFD" w:rsidP="00151C0D">
      <w:pPr>
        <w:pStyle w:val="Heading4"/>
        <w:ind w:left="2340" w:hanging="720"/>
      </w:pPr>
      <w:r w:rsidRPr="00C207DA">
        <w:t xml:space="preserve">Any existing </w:t>
      </w:r>
      <w:r w:rsidR="007A1B24">
        <w:t xml:space="preserve">or acquired </w:t>
      </w:r>
      <w:r w:rsidRPr="00C207DA">
        <w:t xml:space="preserve">underground </w:t>
      </w:r>
      <w:r w:rsidR="00C7148E" w:rsidRPr="00C7148E">
        <w:rPr>
          <w:b/>
        </w:rPr>
        <w:t>tanks</w:t>
      </w:r>
      <w:r w:rsidRPr="00C207DA">
        <w:t xml:space="preserve"> without secondary containment shall: </w:t>
      </w:r>
    </w:p>
    <w:p w14:paraId="2149E2D0" w14:textId="77777777" w:rsidR="00432D48" w:rsidRDefault="007C3CFD" w:rsidP="00151C0D">
      <w:pPr>
        <w:pStyle w:val="Heading7"/>
        <w:numPr>
          <w:ilvl w:val="3"/>
          <w:numId w:val="37"/>
        </w:numPr>
        <w:tabs>
          <w:tab w:val="clear" w:pos="2160"/>
        </w:tabs>
        <w:ind w:left="3240" w:hanging="270"/>
        <w:rPr>
          <w:rFonts w:ascii="Arial" w:hAnsi="Arial" w:cs="Arial"/>
        </w:rPr>
      </w:pPr>
      <w:r w:rsidRPr="00C207DA">
        <w:rPr>
          <w:rFonts w:ascii="Arial" w:hAnsi="Arial" w:cs="Arial"/>
        </w:rPr>
        <w:t>be removed completely, or</w:t>
      </w:r>
    </w:p>
    <w:p w14:paraId="2149E2D1" w14:textId="77777777" w:rsidR="00432D48" w:rsidRDefault="00B33F5B" w:rsidP="00151C0D">
      <w:pPr>
        <w:pStyle w:val="Heading7"/>
        <w:numPr>
          <w:ilvl w:val="3"/>
          <w:numId w:val="37"/>
        </w:numPr>
        <w:tabs>
          <w:tab w:val="clear" w:pos="2160"/>
        </w:tabs>
        <w:ind w:left="3240" w:hanging="270"/>
        <w:rPr>
          <w:rFonts w:ascii="Arial" w:hAnsi="Arial" w:cs="Arial"/>
        </w:rPr>
      </w:pPr>
      <w:r>
        <w:rPr>
          <w:rFonts w:ascii="Arial" w:hAnsi="Arial" w:cs="Arial"/>
        </w:rPr>
        <w:t xml:space="preserve">be </w:t>
      </w:r>
      <w:r w:rsidR="007C3CFD" w:rsidRPr="00C207DA">
        <w:rPr>
          <w:rFonts w:ascii="Arial" w:hAnsi="Arial" w:cs="Arial"/>
        </w:rPr>
        <w:t xml:space="preserve">cleaned, filled with inert material, plugged, and secured in place. </w:t>
      </w:r>
    </w:p>
    <w:p w14:paraId="2149E2D2" w14:textId="77777777" w:rsidR="007C3CFD" w:rsidRPr="00C207DA" w:rsidRDefault="007C3CFD" w:rsidP="00C207DA">
      <w:pPr>
        <w:rPr>
          <w:rFonts w:ascii="Arial" w:hAnsi="Arial" w:cs="Arial"/>
        </w:rPr>
      </w:pPr>
    </w:p>
    <w:p w14:paraId="2149E2D3" w14:textId="77777777" w:rsidR="00B01CE7" w:rsidRDefault="007C3CFD">
      <w:pPr>
        <w:pStyle w:val="Heading2"/>
      </w:pPr>
      <w:bookmarkStart w:id="39" w:name="_Toc289954598"/>
      <w:bookmarkStart w:id="40" w:name="_Toc319425043"/>
      <w:r w:rsidRPr="00C207DA">
        <w:t xml:space="preserve">Specific Requirements for Indoor or Roofed </w:t>
      </w:r>
      <w:r w:rsidR="00C7148E" w:rsidRPr="00C7148E">
        <w:rPr>
          <w:b/>
        </w:rPr>
        <w:t>Spill Control</w:t>
      </w:r>
      <w:bookmarkEnd w:id="24"/>
      <w:r w:rsidR="00C7148E" w:rsidRPr="00C7148E">
        <w:rPr>
          <w:b/>
        </w:rPr>
        <w:t xml:space="preserve"> Facilities</w:t>
      </w:r>
      <w:bookmarkEnd w:id="25"/>
      <w:bookmarkEnd w:id="26"/>
      <w:bookmarkEnd w:id="39"/>
      <w:bookmarkEnd w:id="40"/>
    </w:p>
    <w:p w14:paraId="2149E2D4" w14:textId="77777777" w:rsidR="00B01CE7" w:rsidRDefault="007C3CFD">
      <w:pPr>
        <w:pStyle w:val="Heading3"/>
      </w:pPr>
      <w:r w:rsidRPr="00C207DA">
        <w:t xml:space="preserve">See Containment Capacities Table for containment volume. </w:t>
      </w:r>
    </w:p>
    <w:p w14:paraId="2149E2D5" w14:textId="77777777" w:rsidR="00B01CE7" w:rsidRDefault="007C3CFD">
      <w:pPr>
        <w:pStyle w:val="Heading3"/>
      </w:pPr>
      <w:r w:rsidRPr="00C207DA">
        <w:t xml:space="preserve">If a building structure is used for secondary containment, appropriate design features, such as berms, dikes, floor joint seals, perimeter wall seals, etc., shall be implemented to prevent the migration of a spill to the exterior of the building. </w:t>
      </w:r>
    </w:p>
    <w:p w14:paraId="2149E2D6" w14:textId="77777777" w:rsidR="00B01CE7" w:rsidRDefault="007C3CFD">
      <w:pPr>
        <w:pStyle w:val="Heading2"/>
      </w:pPr>
      <w:bookmarkStart w:id="41" w:name="_Toc9763585"/>
      <w:bookmarkStart w:id="42" w:name="_Toc24778080"/>
      <w:bookmarkStart w:id="43" w:name="_Toc24791169"/>
      <w:bookmarkStart w:id="44" w:name="_Toc289954599"/>
      <w:bookmarkStart w:id="45" w:name="_Toc319425044"/>
      <w:r w:rsidRPr="00C207DA">
        <w:t xml:space="preserve">Specific Requirements for Outdoor </w:t>
      </w:r>
      <w:r w:rsidR="00C7148E" w:rsidRPr="00C7148E">
        <w:rPr>
          <w:b/>
        </w:rPr>
        <w:t>Spill Control Facilities</w:t>
      </w:r>
      <w:bookmarkEnd w:id="41"/>
      <w:bookmarkEnd w:id="42"/>
      <w:bookmarkEnd w:id="43"/>
      <w:bookmarkEnd w:id="44"/>
      <w:bookmarkEnd w:id="45"/>
    </w:p>
    <w:p w14:paraId="2149E2D7" w14:textId="77777777" w:rsidR="00B01CE7" w:rsidRDefault="007C3CFD">
      <w:pPr>
        <w:pStyle w:val="Heading3"/>
      </w:pPr>
      <w:r w:rsidRPr="00C207DA">
        <w:t xml:space="preserve">See Containment Capacities Table for containment volume. </w:t>
      </w:r>
    </w:p>
    <w:p w14:paraId="2149E2D8" w14:textId="77777777" w:rsidR="00B01CE7" w:rsidRDefault="007C3CFD">
      <w:pPr>
        <w:pStyle w:val="Heading3"/>
      </w:pPr>
      <w:r w:rsidRPr="00C207DA">
        <w:t xml:space="preserve">In-ground wastewater pH neutralization </w:t>
      </w:r>
      <w:r w:rsidR="00C7148E" w:rsidRPr="00C7148E">
        <w:rPr>
          <w:b/>
        </w:rPr>
        <w:t>tanks</w:t>
      </w:r>
      <w:r w:rsidRPr="00C207DA">
        <w:t xml:space="preserve"> shall be chemically compatible with the wastewater.  </w:t>
      </w:r>
    </w:p>
    <w:p w14:paraId="2149E2D9" w14:textId="77777777" w:rsidR="00B01CE7" w:rsidRDefault="007C3CFD">
      <w:pPr>
        <w:pStyle w:val="Heading3"/>
      </w:pPr>
      <w:r w:rsidRPr="00C207DA">
        <w:t xml:space="preserve">In-ground wastewater pH neutralization </w:t>
      </w:r>
      <w:r w:rsidR="00C7148E" w:rsidRPr="00C7148E">
        <w:rPr>
          <w:b/>
        </w:rPr>
        <w:t>tanks</w:t>
      </w:r>
      <w:r w:rsidRPr="00C207DA">
        <w:t xml:space="preserve"> shall:</w:t>
      </w:r>
    </w:p>
    <w:p w14:paraId="2149E2DA" w14:textId="77777777" w:rsidR="007C3CFD" w:rsidRPr="00C207DA" w:rsidRDefault="007C3CFD" w:rsidP="00151C0D">
      <w:pPr>
        <w:pStyle w:val="Heading4"/>
        <w:tabs>
          <w:tab w:val="num" w:pos="2340"/>
        </w:tabs>
        <w:ind w:left="2340" w:hanging="720"/>
      </w:pPr>
      <w:r w:rsidRPr="00C207DA">
        <w:t xml:space="preserve">Be surrounded by a </w:t>
      </w:r>
      <w:r w:rsidR="00C7148E" w:rsidRPr="00C7148E">
        <w:rPr>
          <w:b/>
        </w:rPr>
        <w:t xml:space="preserve">French drain </w:t>
      </w:r>
      <w:r w:rsidRPr="00C207DA">
        <w:t>which allows for the detection of leaks; or</w:t>
      </w:r>
    </w:p>
    <w:p w14:paraId="2149E2DB" w14:textId="77777777" w:rsidR="007C3CFD" w:rsidRPr="00C207DA" w:rsidRDefault="007C3CFD" w:rsidP="00151C0D">
      <w:pPr>
        <w:pStyle w:val="Heading4"/>
        <w:tabs>
          <w:tab w:val="num" w:pos="2340"/>
        </w:tabs>
        <w:ind w:left="2340" w:hanging="720"/>
      </w:pPr>
      <w:r w:rsidRPr="00C207DA">
        <w:t xml:space="preserve">Have an external leakage monitoring system; or </w:t>
      </w:r>
    </w:p>
    <w:p w14:paraId="2149E2DC" w14:textId="77777777" w:rsidR="007C3CFD" w:rsidRPr="00C207DA" w:rsidRDefault="007C3CFD" w:rsidP="00151C0D">
      <w:pPr>
        <w:pStyle w:val="Heading4"/>
        <w:tabs>
          <w:tab w:val="num" w:pos="2340"/>
        </w:tabs>
        <w:ind w:left="2340" w:hanging="720"/>
      </w:pPr>
      <w:r w:rsidRPr="00C207DA">
        <w:t>Have secondary containment protection, which allows for the detection of leaks.</w:t>
      </w:r>
    </w:p>
    <w:p w14:paraId="2149E2DD" w14:textId="77777777" w:rsidR="00B01CE7" w:rsidRDefault="007C3CFD">
      <w:pPr>
        <w:pStyle w:val="Heading3"/>
      </w:pPr>
      <w:r w:rsidRPr="00C207DA">
        <w:t xml:space="preserve">Existing </w:t>
      </w:r>
      <w:r w:rsidR="00C7148E" w:rsidRPr="00C7148E">
        <w:rPr>
          <w:b/>
        </w:rPr>
        <w:t>tanks</w:t>
      </w:r>
      <w:r w:rsidRPr="00C207DA">
        <w:t xml:space="preserve"> installed in below-grade, open-top (pits), or enclosed (vault style) </w:t>
      </w:r>
      <w:r w:rsidR="00C7148E" w:rsidRPr="00C7148E">
        <w:rPr>
          <w:b/>
        </w:rPr>
        <w:t>secondary containment structure</w:t>
      </w:r>
      <w:r w:rsidRPr="00C207DA">
        <w:t xml:space="preserve">s shall allow for easy visual inspection and detection of leaks. </w:t>
      </w:r>
    </w:p>
    <w:p w14:paraId="2149E2DE" w14:textId="77777777" w:rsidR="00B01CE7" w:rsidRDefault="007C3CFD">
      <w:pPr>
        <w:pStyle w:val="Heading3"/>
      </w:pPr>
      <w:r w:rsidRPr="00C207DA">
        <w:t>Connections used at all outdoor liquid transfers shall be drip-free (dry-type, double valve, etc.).</w:t>
      </w:r>
    </w:p>
    <w:p w14:paraId="2149E2DF" w14:textId="77777777" w:rsidR="00B01CE7" w:rsidRDefault="007C3CFD">
      <w:pPr>
        <w:pStyle w:val="Heading3"/>
      </w:pPr>
      <w:r w:rsidRPr="00C207DA">
        <w:t xml:space="preserve">All </w:t>
      </w:r>
      <w:r w:rsidR="00C7148E" w:rsidRPr="00C7148E">
        <w:rPr>
          <w:b/>
        </w:rPr>
        <w:t>tanks</w:t>
      </w:r>
      <w:r w:rsidRPr="00C207DA">
        <w:t xml:space="preserve"> which store </w:t>
      </w:r>
      <w:r w:rsidR="00C7148E" w:rsidRPr="00C7148E">
        <w:rPr>
          <w:b/>
        </w:rPr>
        <w:t>hazardous chemicals and materials</w:t>
      </w:r>
      <w:r w:rsidRPr="00C207DA">
        <w:t xml:space="preserve"> shall have a means for readily determining their liquid level (for example: sight glass, remote level sensor, etc.) and immediately stopping the transfer of liquid in the event of a leak, overfill, or other problem. To prevent overfilling </w:t>
      </w:r>
      <w:r w:rsidR="00C7148E" w:rsidRPr="00C7148E">
        <w:rPr>
          <w:b/>
        </w:rPr>
        <w:t>tanks</w:t>
      </w:r>
      <w:r w:rsidRPr="00C207DA">
        <w:t>, sites shall either:</w:t>
      </w:r>
    </w:p>
    <w:p w14:paraId="2149E2E0" w14:textId="77777777" w:rsidR="007C3CFD" w:rsidRPr="00C207DA" w:rsidRDefault="007C3CFD" w:rsidP="00151C0D">
      <w:pPr>
        <w:pStyle w:val="Heading4"/>
        <w:tabs>
          <w:tab w:val="num" w:pos="2340"/>
        </w:tabs>
        <w:ind w:left="2340" w:hanging="720"/>
      </w:pPr>
      <w:r w:rsidRPr="00C207DA">
        <w:t xml:space="preserve">Equip each </w:t>
      </w:r>
      <w:r w:rsidR="00C7148E" w:rsidRPr="00C7148E">
        <w:rPr>
          <w:b/>
        </w:rPr>
        <w:t>tank</w:t>
      </w:r>
      <w:r w:rsidRPr="00C207DA">
        <w:t xml:space="preserve"> with automatic liquid level controls, or</w:t>
      </w:r>
    </w:p>
    <w:p w14:paraId="2149E2E1" w14:textId="77777777" w:rsidR="007C3CFD" w:rsidRPr="00C207DA" w:rsidRDefault="007C3CFD" w:rsidP="00151C0D">
      <w:pPr>
        <w:pStyle w:val="Heading4"/>
        <w:tabs>
          <w:tab w:val="num" w:pos="2340"/>
        </w:tabs>
        <w:ind w:left="2340" w:hanging="720"/>
      </w:pPr>
      <w:r w:rsidRPr="00C207DA">
        <w:t xml:space="preserve">Develop a procedure for the manual filling of each </w:t>
      </w:r>
      <w:r w:rsidR="00C7148E" w:rsidRPr="00C7148E">
        <w:rPr>
          <w:b/>
        </w:rPr>
        <w:t>tank</w:t>
      </w:r>
      <w:r w:rsidRPr="00C207DA">
        <w:t>, including a requirement for constant monitoring of liquid level and controls during the transfer process.    </w:t>
      </w:r>
    </w:p>
    <w:p w14:paraId="2149E2E2" w14:textId="77777777" w:rsidR="007C3CFD" w:rsidRDefault="007C3CFD" w:rsidP="00C207DA">
      <w:pPr>
        <w:jc w:val="center"/>
        <w:rPr>
          <w:b/>
        </w:rPr>
      </w:pPr>
    </w:p>
    <w:p w14:paraId="2149E2E3" w14:textId="77777777" w:rsidR="007C3CFD" w:rsidRPr="003E4D20" w:rsidRDefault="007C3CFD" w:rsidP="00C207DA">
      <w:pPr>
        <w:jc w:val="center"/>
        <w:rPr>
          <w:rFonts w:ascii="Arial" w:hAnsi="Arial" w:cs="Arial"/>
          <w:b/>
          <w:sz w:val="24"/>
          <w:szCs w:val="24"/>
        </w:rPr>
      </w:pPr>
      <w:r w:rsidRPr="003E4D20">
        <w:rPr>
          <w:rFonts w:ascii="Arial" w:hAnsi="Arial" w:cs="Arial"/>
          <w:sz w:val="24"/>
          <w:szCs w:val="24"/>
        </w:rPr>
        <w:t>Containment Capacities Table</w:t>
      </w:r>
    </w:p>
    <w:tbl>
      <w:tblPr>
        <w:tblW w:w="8377" w:type="dxa"/>
        <w:tblInd w:w="828" w:type="dxa"/>
        <w:tblLook w:val="0000" w:firstRow="0" w:lastRow="0" w:firstColumn="0" w:lastColumn="0" w:noHBand="0" w:noVBand="0"/>
      </w:tblPr>
      <w:tblGrid>
        <w:gridCol w:w="2986"/>
        <w:gridCol w:w="2718"/>
        <w:gridCol w:w="2673"/>
      </w:tblGrid>
      <w:tr w:rsidR="007C3CFD" w14:paraId="2149E2E7" w14:textId="77777777" w:rsidTr="006A5C8B">
        <w:trPr>
          <w:trHeight w:val="775"/>
        </w:trPr>
        <w:tc>
          <w:tcPr>
            <w:tcW w:w="2986" w:type="dxa"/>
            <w:tcBorders>
              <w:top w:val="single" w:sz="4" w:space="0" w:color="auto"/>
              <w:left w:val="single" w:sz="4" w:space="0" w:color="auto"/>
              <w:bottom w:val="single" w:sz="4" w:space="0" w:color="auto"/>
              <w:right w:val="single" w:sz="4" w:space="0" w:color="auto"/>
            </w:tcBorders>
            <w:vAlign w:val="bottom"/>
          </w:tcPr>
          <w:p w14:paraId="2149E2E4" w14:textId="77777777" w:rsidR="007C3CFD" w:rsidRPr="006763BE" w:rsidRDefault="007C3CFD" w:rsidP="006A5C8B">
            <w:pPr>
              <w:jc w:val="center"/>
              <w:rPr>
                <w:rFonts w:ascii="Arial" w:hAnsi="Arial" w:cs="Arial"/>
                <w:b/>
                <w:bCs/>
                <w:lang w:eastAsia="ja-JP"/>
              </w:rPr>
            </w:pPr>
            <w:r w:rsidRPr="006763BE">
              <w:rPr>
                <w:rFonts w:ascii="Arial" w:hAnsi="Arial" w:cs="Arial"/>
                <w:b/>
                <w:bCs/>
                <w:lang w:eastAsia="ja-JP"/>
              </w:rPr>
              <w:t xml:space="preserve">Hazardous Chemical and Material Areas </w:t>
            </w:r>
          </w:p>
        </w:tc>
        <w:tc>
          <w:tcPr>
            <w:tcW w:w="2718" w:type="dxa"/>
            <w:tcBorders>
              <w:top w:val="single" w:sz="4" w:space="0" w:color="auto"/>
              <w:left w:val="nil"/>
              <w:bottom w:val="single" w:sz="4" w:space="0" w:color="auto"/>
              <w:right w:val="single" w:sz="4" w:space="0" w:color="auto"/>
            </w:tcBorders>
            <w:shd w:val="clear" w:color="auto" w:fill="CCFFFF"/>
            <w:vAlign w:val="bottom"/>
          </w:tcPr>
          <w:p w14:paraId="2149E2E5" w14:textId="77777777" w:rsidR="007C3CFD" w:rsidRPr="006763BE" w:rsidRDefault="007C3CFD" w:rsidP="006A5C8B">
            <w:pPr>
              <w:jc w:val="center"/>
              <w:rPr>
                <w:rFonts w:ascii="Arial" w:hAnsi="Arial" w:cs="Arial"/>
                <w:b/>
                <w:bCs/>
                <w:lang w:eastAsia="ja-JP"/>
              </w:rPr>
            </w:pPr>
            <w:r w:rsidRPr="006763BE">
              <w:rPr>
                <w:rFonts w:ascii="Arial" w:hAnsi="Arial" w:cs="Arial"/>
                <w:b/>
                <w:bCs/>
                <w:lang w:eastAsia="ja-JP"/>
              </w:rPr>
              <w:t>Containment capacity for outdoor locations exposed to weather and rain</w:t>
            </w:r>
            <w:r w:rsidR="00A253D3">
              <w:rPr>
                <w:rFonts w:ascii="Arial" w:hAnsi="Arial" w:cs="Arial"/>
                <w:b/>
                <w:bCs/>
                <w:lang w:eastAsia="ja-JP"/>
              </w:rPr>
              <w:t xml:space="preserve"> (see Figure 1)</w:t>
            </w:r>
          </w:p>
        </w:tc>
        <w:tc>
          <w:tcPr>
            <w:tcW w:w="2673" w:type="dxa"/>
            <w:tcBorders>
              <w:top w:val="single" w:sz="4" w:space="0" w:color="auto"/>
              <w:left w:val="nil"/>
              <w:bottom w:val="single" w:sz="4" w:space="0" w:color="auto"/>
              <w:right w:val="single" w:sz="4" w:space="0" w:color="auto"/>
            </w:tcBorders>
            <w:shd w:val="clear" w:color="auto" w:fill="FFCC99"/>
            <w:vAlign w:val="bottom"/>
          </w:tcPr>
          <w:p w14:paraId="2149E2E6" w14:textId="77777777" w:rsidR="007C3CFD" w:rsidRPr="006763BE" w:rsidRDefault="007C3CFD" w:rsidP="006A5C8B">
            <w:pPr>
              <w:jc w:val="center"/>
              <w:rPr>
                <w:rFonts w:ascii="Arial" w:hAnsi="Arial" w:cs="Arial"/>
                <w:b/>
                <w:bCs/>
                <w:lang w:eastAsia="ja-JP"/>
              </w:rPr>
            </w:pPr>
            <w:r w:rsidRPr="006763BE">
              <w:rPr>
                <w:rFonts w:ascii="Arial" w:hAnsi="Arial" w:cs="Arial"/>
                <w:b/>
                <w:bCs/>
                <w:lang w:eastAsia="ja-JP"/>
              </w:rPr>
              <w:t>Containment capacity for indoor or roofed locations protected from weather and rain</w:t>
            </w:r>
          </w:p>
        </w:tc>
      </w:tr>
      <w:tr w:rsidR="007C3CFD" w14:paraId="2149E2EB" w14:textId="77777777" w:rsidTr="006A5C8B">
        <w:trPr>
          <w:trHeight w:val="775"/>
        </w:trPr>
        <w:tc>
          <w:tcPr>
            <w:tcW w:w="2986" w:type="dxa"/>
            <w:tcBorders>
              <w:top w:val="nil"/>
              <w:left w:val="single" w:sz="4" w:space="0" w:color="auto"/>
              <w:bottom w:val="single" w:sz="4" w:space="0" w:color="auto"/>
              <w:right w:val="single" w:sz="4" w:space="0" w:color="auto"/>
            </w:tcBorders>
            <w:vAlign w:val="bottom"/>
          </w:tcPr>
          <w:p w14:paraId="2149E2E8" w14:textId="77777777" w:rsidR="007C3CFD" w:rsidRPr="006763BE" w:rsidRDefault="007C3CFD" w:rsidP="006A5C8B">
            <w:pPr>
              <w:rPr>
                <w:rFonts w:ascii="Arial" w:hAnsi="Arial" w:cs="Arial"/>
                <w:lang w:eastAsia="ja-JP"/>
              </w:rPr>
            </w:pPr>
            <w:r w:rsidRPr="006763BE">
              <w:rPr>
                <w:rFonts w:ascii="Arial" w:hAnsi="Arial" w:cs="Arial"/>
                <w:lang w:eastAsia="ja-JP"/>
              </w:rPr>
              <w:t>Tank or Tank Farms (tanks are fixed in place)</w:t>
            </w:r>
          </w:p>
        </w:tc>
        <w:tc>
          <w:tcPr>
            <w:tcW w:w="2718" w:type="dxa"/>
            <w:tcBorders>
              <w:top w:val="nil"/>
              <w:left w:val="nil"/>
              <w:bottom w:val="single" w:sz="4" w:space="0" w:color="auto"/>
              <w:right w:val="single" w:sz="4" w:space="0" w:color="auto"/>
            </w:tcBorders>
            <w:shd w:val="clear" w:color="auto" w:fill="CCFFFF"/>
            <w:vAlign w:val="bottom"/>
          </w:tcPr>
          <w:p w14:paraId="2149E2E9" w14:textId="77777777" w:rsidR="007C3CFD" w:rsidRPr="006763BE" w:rsidRDefault="007C3CFD" w:rsidP="002D61EA">
            <w:pPr>
              <w:rPr>
                <w:rFonts w:ascii="Arial" w:hAnsi="Arial" w:cs="Arial"/>
                <w:lang w:eastAsia="ja-JP"/>
              </w:rPr>
            </w:pPr>
            <w:r w:rsidRPr="006763BE">
              <w:rPr>
                <w:rFonts w:ascii="Arial" w:hAnsi="Arial" w:cs="Arial"/>
                <w:lang w:eastAsia="ja-JP"/>
              </w:rPr>
              <w:t>150% of the largest tank in the containment area</w:t>
            </w:r>
            <w:r w:rsidR="00A253D3">
              <w:rPr>
                <w:rFonts w:ascii="Arial" w:hAnsi="Arial" w:cs="Arial"/>
                <w:lang w:eastAsia="ja-JP"/>
              </w:rPr>
              <w:t>; the 50% excess capacity must be at least 3 inches (</w:t>
            </w:r>
            <w:r w:rsidR="002D61EA">
              <w:rPr>
                <w:rFonts w:ascii="Arial" w:hAnsi="Arial" w:cs="Arial"/>
                <w:lang w:eastAsia="ja-JP"/>
              </w:rPr>
              <w:t>7.6</w:t>
            </w:r>
            <w:r w:rsidR="00A253D3">
              <w:rPr>
                <w:rFonts w:ascii="Arial" w:hAnsi="Arial" w:cs="Arial"/>
                <w:lang w:eastAsia="ja-JP"/>
              </w:rPr>
              <w:t xml:space="preserve"> cm) of depth.</w:t>
            </w:r>
            <w:r w:rsidRPr="006763BE">
              <w:rPr>
                <w:rFonts w:ascii="Arial" w:hAnsi="Arial" w:cs="Arial"/>
                <w:lang w:eastAsia="ja-JP"/>
              </w:rPr>
              <w:t xml:space="preserve"> </w:t>
            </w:r>
          </w:p>
        </w:tc>
        <w:tc>
          <w:tcPr>
            <w:tcW w:w="2673" w:type="dxa"/>
            <w:tcBorders>
              <w:top w:val="nil"/>
              <w:left w:val="nil"/>
              <w:bottom w:val="single" w:sz="4" w:space="0" w:color="auto"/>
              <w:right w:val="single" w:sz="4" w:space="0" w:color="auto"/>
            </w:tcBorders>
            <w:shd w:val="clear" w:color="auto" w:fill="FFCC99"/>
            <w:vAlign w:val="bottom"/>
          </w:tcPr>
          <w:p w14:paraId="2149E2EA" w14:textId="77777777" w:rsidR="007C3CFD" w:rsidRPr="006763BE" w:rsidRDefault="007C3CFD" w:rsidP="006A5C8B">
            <w:pPr>
              <w:rPr>
                <w:rFonts w:ascii="Arial" w:hAnsi="Arial" w:cs="Arial"/>
                <w:lang w:eastAsia="ja-JP"/>
              </w:rPr>
            </w:pPr>
            <w:r w:rsidRPr="006763BE">
              <w:rPr>
                <w:rFonts w:ascii="Arial" w:hAnsi="Arial" w:cs="Arial"/>
                <w:lang w:eastAsia="ja-JP"/>
              </w:rPr>
              <w:t>110% of the largest tank in the containment area</w:t>
            </w:r>
          </w:p>
        </w:tc>
      </w:tr>
      <w:tr w:rsidR="007C3CFD" w14:paraId="2149E2EF" w14:textId="77777777" w:rsidTr="006A5C8B">
        <w:trPr>
          <w:trHeight w:val="695"/>
        </w:trPr>
        <w:tc>
          <w:tcPr>
            <w:tcW w:w="2986" w:type="dxa"/>
            <w:tcBorders>
              <w:top w:val="nil"/>
              <w:left w:val="single" w:sz="4" w:space="0" w:color="auto"/>
              <w:bottom w:val="single" w:sz="4" w:space="0" w:color="auto"/>
              <w:right w:val="single" w:sz="4" w:space="0" w:color="auto"/>
            </w:tcBorders>
            <w:vAlign w:val="bottom"/>
          </w:tcPr>
          <w:p w14:paraId="2149E2EC" w14:textId="77777777" w:rsidR="007C3CFD" w:rsidRPr="006763BE" w:rsidRDefault="007C3CFD" w:rsidP="006A5C8B">
            <w:pPr>
              <w:rPr>
                <w:rFonts w:ascii="Arial" w:hAnsi="Arial" w:cs="Arial"/>
                <w:lang w:eastAsia="ja-JP"/>
              </w:rPr>
            </w:pPr>
            <w:r w:rsidRPr="006763BE">
              <w:rPr>
                <w:rFonts w:ascii="Arial" w:hAnsi="Arial" w:cs="Arial"/>
                <w:lang w:eastAsia="ja-JP"/>
              </w:rPr>
              <w:t>Chemical docks where containers are stored and/or staged for shipping</w:t>
            </w:r>
          </w:p>
        </w:tc>
        <w:tc>
          <w:tcPr>
            <w:tcW w:w="2718" w:type="dxa"/>
            <w:tcBorders>
              <w:top w:val="nil"/>
              <w:left w:val="nil"/>
              <w:bottom w:val="single" w:sz="4" w:space="0" w:color="auto"/>
              <w:right w:val="single" w:sz="4" w:space="0" w:color="auto"/>
            </w:tcBorders>
            <w:shd w:val="clear" w:color="auto" w:fill="CCFFFF"/>
            <w:vAlign w:val="bottom"/>
          </w:tcPr>
          <w:p w14:paraId="2149E2ED" w14:textId="77777777" w:rsidR="007C3CFD" w:rsidRPr="006763BE" w:rsidRDefault="007C3CFD" w:rsidP="002D61EA">
            <w:pPr>
              <w:rPr>
                <w:rFonts w:ascii="Arial" w:hAnsi="Arial" w:cs="Arial"/>
                <w:lang w:eastAsia="ja-JP"/>
              </w:rPr>
            </w:pPr>
            <w:r w:rsidRPr="006763BE">
              <w:rPr>
                <w:rFonts w:ascii="Arial" w:hAnsi="Arial" w:cs="Arial"/>
                <w:lang w:eastAsia="ja-JP"/>
              </w:rPr>
              <w:t>150% of the largest tank or container volume stored</w:t>
            </w:r>
            <w:r w:rsidR="00A253D3">
              <w:rPr>
                <w:rFonts w:ascii="Arial" w:hAnsi="Arial" w:cs="Arial"/>
                <w:lang w:eastAsia="ja-JP"/>
              </w:rPr>
              <w:t>; the 50% excess capacity must be at least 3 inches (</w:t>
            </w:r>
            <w:r w:rsidR="002D61EA">
              <w:rPr>
                <w:rFonts w:ascii="Arial" w:hAnsi="Arial" w:cs="Arial"/>
                <w:lang w:eastAsia="ja-JP"/>
              </w:rPr>
              <w:t>7.6</w:t>
            </w:r>
            <w:r w:rsidR="00A253D3">
              <w:rPr>
                <w:rFonts w:ascii="Arial" w:hAnsi="Arial" w:cs="Arial"/>
                <w:lang w:eastAsia="ja-JP"/>
              </w:rPr>
              <w:t xml:space="preserve"> cm) of depth.</w:t>
            </w:r>
          </w:p>
        </w:tc>
        <w:tc>
          <w:tcPr>
            <w:tcW w:w="2673" w:type="dxa"/>
            <w:tcBorders>
              <w:top w:val="nil"/>
              <w:left w:val="nil"/>
              <w:bottom w:val="single" w:sz="4" w:space="0" w:color="auto"/>
              <w:right w:val="single" w:sz="4" w:space="0" w:color="auto"/>
            </w:tcBorders>
            <w:shd w:val="clear" w:color="auto" w:fill="FFCC99"/>
            <w:vAlign w:val="bottom"/>
          </w:tcPr>
          <w:p w14:paraId="2149E2EE" w14:textId="77777777" w:rsidR="007C3CFD" w:rsidRPr="006763BE" w:rsidRDefault="007C3CFD" w:rsidP="006A5C8B">
            <w:pPr>
              <w:rPr>
                <w:rFonts w:ascii="Arial" w:hAnsi="Arial" w:cs="Arial"/>
                <w:lang w:eastAsia="ja-JP"/>
              </w:rPr>
            </w:pPr>
            <w:r w:rsidRPr="006763BE">
              <w:rPr>
                <w:rFonts w:ascii="Arial" w:hAnsi="Arial" w:cs="Arial"/>
                <w:lang w:eastAsia="ja-JP"/>
              </w:rPr>
              <w:t>110% of the largest tank or container volume stored</w:t>
            </w:r>
          </w:p>
        </w:tc>
      </w:tr>
      <w:tr w:rsidR="007C3CFD" w14:paraId="2149E2F3" w14:textId="77777777" w:rsidTr="006A5C8B">
        <w:trPr>
          <w:trHeight w:val="775"/>
        </w:trPr>
        <w:tc>
          <w:tcPr>
            <w:tcW w:w="2986" w:type="dxa"/>
            <w:tcBorders>
              <w:top w:val="nil"/>
              <w:left w:val="single" w:sz="4" w:space="0" w:color="auto"/>
              <w:bottom w:val="single" w:sz="4" w:space="0" w:color="auto"/>
              <w:right w:val="single" w:sz="4" w:space="0" w:color="auto"/>
            </w:tcBorders>
            <w:vAlign w:val="bottom"/>
          </w:tcPr>
          <w:p w14:paraId="2149E2F0" w14:textId="77777777" w:rsidR="007C3CFD" w:rsidRPr="006763BE" w:rsidRDefault="007C3CFD" w:rsidP="006A5C8B">
            <w:pPr>
              <w:rPr>
                <w:rFonts w:ascii="Arial" w:hAnsi="Arial" w:cs="Arial"/>
                <w:lang w:eastAsia="ja-JP"/>
              </w:rPr>
            </w:pPr>
            <w:r w:rsidRPr="006763BE">
              <w:rPr>
                <w:rFonts w:ascii="Arial" w:hAnsi="Arial" w:cs="Arial"/>
                <w:lang w:eastAsia="ja-JP"/>
              </w:rPr>
              <w:t>Tank or container storage and/or dispensing rooms inside building structures</w:t>
            </w:r>
          </w:p>
        </w:tc>
        <w:tc>
          <w:tcPr>
            <w:tcW w:w="2718" w:type="dxa"/>
            <w:tcBorders>
              <w:top w:val="nil"/>
              <w:left w:val="nil"/>
              <w:bottom w:val="single" w:sz="4" w:space="0" w:color="auto"/>
              <w:right w:val="single" w:sz="4" w:space="0" w:color="auto"/>
            </w:tcBorders>
            <w:shd w:val="clear" w:color="auto" w:fill="CCFFFF"/>
            <w:vAlign w:val="bottom"/>
          </w:tcPr>
          <w:p w14:paraId="2149E2F1" w14:textId="77777777" w:rsidR="007C3CFD" w:rsidRPr="006763BE" w:rsidRDefault="007C3CFD" w:rsidP="006A5C8B">
            <w:pPr>
              <w:rPr>
                <w:rFonts w:ascii="Arial" w:hAnsi="Arial" w:cs="Arial"/>
                <w:lang w:eastAsia="ja-JP"/>
              </w:rPr>
            </w:pPr>
            <w:r w:rsidRPr="006763BE">
              <w:rPr>
                <w:rFonts w:ascii="Arial" w:hAnsi="Arial" w:cs="Arial"/>
                <w:lang w:eastAsia="ja-JP"/>
              </w:rPr>
              <w:t xml:space="preserve">Not </w:t>
            </w:r>
            <w:r>
              <w:rPr>
                <w:rFonts w:ascii="Arial" w:hAnsi="Arial" w:cs="Arial"/>
                <w:lang w:eastAsia="ja-JP"/>
              </w:rPr>
              <w:t>applicable</w:t>
            </w:r>
          </w:p>
        </w:tc>
        <w:tc>
          <w:tcPr>
            <w:tcW w:w="2673" w:type="dxa"/>
            <w:tcBorders>
              <w:top w:val="nil"/>
              <w:left w:val="nil"/>
              <w:bottom w:val="single" w:sz="4" w:space="0" w:color="auto"/>
              <w:right w:val="single" w:sz="4" w:space="0" w:color="auto"/>
            </w:tcBorders>
            <w:shd w:val="clear" w:color="auto" w:fill="FFCC99"/>
            <w:vAlign w:val="bottom"/>
          </w:tcPr>
          <w:p w14:paraId="2149E2F2" w14:textId="77777777" w:rsidR="007C3CFD" w:rsidRPr="006763BE" w:rsidRDefault="007C3CFD" w:rsidP="006A5C8B">
            <w:pPr>
              <w:rPr>
                <w:rFonts w:ascii="Arial" w:hAnsi="Arial" w:cs="Arial"/>
                <w:lang w:eastAsia="ja-JP"/>
              </w:rPr>
            </w:pPr>
            <w:r w:rsidRPr="006763BE">
              <w:rPr>
                <w:rFonts w:ascii="Arial" w:hAnsi="Arial" w:cs="Arial"/>
                <w:lang w:eastAsia="ja-JP"/>
              </w:rPr>
              <w:t>110% of the largest tank or container volume stored</w:t>
            </w:r>
          </w:p>
        </w:tc>
      </w:tr>
      <w:tr w:rsidR="007C3CFD" w14:paraId="2149E2F7" w14:textId="77777777" w:rsidTr="006A5C8B">
        <w:trPr>
          <w:trHeight w:val="775"/>
        </w:trPr>
        <w:tc>
          <w:tcPr>
            <w:tcW w:w="2986" w:type="dxa"/>
            <w:tcBorders>
              <w:top w:val="nil"/>
              <w:left w:val="single" w:sz="4" w:space="0" w:color="auto"/>
              <w:bottom w:val="single" w:sz="4" w:space="0" w:color="auto"/>
              <w:right w:val="single" w:sz="4" w:space="0" w:color="auto"/>
            </w:tcBorders>
            <w:vAlign w:val="bottom"/>
          </w:tcPr>
          <w:p w14:paraId="2149E2F4" w14:textId="77777777" w:rsidR="007C3CFD" w:rsidRPr="006763BE" w:rsidRDefault="007C3CFD" w:rsidP="006A5C8B">
            <w:pPr>
              <w:rPr>
                <w:rFonts w:ascii="Arial" w:hAnsi="Arial" w:cs="Arial"/>
                <w:lang w:eastAsia="ja-JP"/>
              </w:rPr>
            </w:pPr>
            <w:r w:rsidRPr="006763BE">
              <w:rPr>
                <w:rFonts w:ascii="Arial" w:hAnsi="Arial" w:cs="Arial"/>
                <w:lang w:eastAsia="ja-JP"/>
              </w:rPr>
              <w:t>Container loading and unloading areas outside of building structures (transfer containers from trucks into a building storage area)</w:t>
            </w:r>
          </w:p>
        </w:tc>
        <w:tc>
          <w:tcPr>
            <w:tcW w:w="2718" w:type="dxa"/>
            <w:tcBorders>
              <w:top w:val="nil"/>
              <w:left w:val="nil"/>
              <w:bottom w:val="single" w:sz="4" w:space="0" w:color="auto"/>
              <w:right w:val="single" w:sz="4" w:space="0" w:color="auto"/>
            </w:tcBorders>
            <w:shd w:val="clear" w:color="auto" w:fill="CCFFFF"/>
            <w:vAlign w:val="bottom"/>
          </w:tcPr>
          <w:p w14:paraId="2149E2F5" w14:textId="77777777" w:rsidR="007C3CFD" w:rsidRPr="006763BE" w:rsidRDefault="007C3CFD" w:rsidP="002D61EA">
            <w:pPr>
              <w:rPr>
                <w:rFonts w:ascii="Arial" w:hAnsi="Arial" w:cs="Arial"/>
                <w:lang w:eastAsia="ja-JP"/>
              </w:rPr>
            </w:pPr>
            <w:r w:rsidRPr="006763BE">
              <w:rPr>
                <w:rFonts w:ascii="Arial" w:hAnsi="Arial" w:cs="Arial"/>
                <w:lang w:eastAsia="ja-JP"/>
              </w:rPr>
              <w:t>150% of the largest container being loaded or unloaded</w:t>
            </w:r>
            <w:r w:rsidR="00A253D3">
              <w:rPr>
                <w:rFonts w:ascii="Arial" w:hAnsi="Arial" w:cs="Arial"/>
                <w:lang w:eastAsia="ja-JP"/>
              </w:rPr>
              <w:t>; the 50% excess capacity must be at least 3 inches (</w:t>
            </w:r>
            <w:r w:rsidR="002D61EA">
              <w:rPr>
                <w:rFonts w:ascii="Arial" w:hAnsi="Arial" w:cs="Arial"/>
                <w:lang w:eastAsia="ja-JP"/>
              </w:rPr>
              <w:t>7.6</w:t>
            </w:r>
            <w:r w:rsidR="00A253D3">
              <w:rPr>
                <w:rFonts w:ascii="Arial" w:hAnsi="Arial" w:cs="Arial"/>
                <w:lang w:eastAsia="ja-JP"/>
              </w:rPr>
              <w:t xml:space="preserve"> cm) of depth.</w:t>
            </w:r>
            <w:r w:rsidR="00A253D3" w:rsidRPr="006763BE">
              <w:rPr>
                <w:rFonts w:ascii="Arial" w:hAnsi="Arial" w:cs="Arial"/>
                <w:lang w:eastAsia="ja-JP"/>
              </w:rPr>
              <w:t xml:space="preserve"> </w:t>
            </w:r>
            <w:r w:rsidRPr="006763BE">
              <w:rPr>
                <w:rFonts w:ascii="Arial" w:hAnsi="Arial" w:cs="Arial"/>
                <w:lang w:eastAsia="ja-JP"/>
              </w:rPr>
              <w:t xml:space="preserve"> </w:t>
            </w:r>
          </w:p>
        </w:tc>
        <w:tc>
          <w:tcPr>
            <w:tcW w:w="2673" w:type="dxa"/>
            <w:tcBorders>
              <w:top w:val="nil"/>
              <w:left w:val="nil"/>
              <w:bottom w:val="single" w:sz="4" w:space="0" w:color="auto"/>
              <w:right w:val="single" w:sz="4" w:space="0" w:color="auto"/>
            </w:tcBorders>
            <w:shd w:val="clear" w:color="auto" w:fill="FFCC99"/>
            <w:vAlign w:val="bottom"/>
          </w:tcPr>
          <w:p w14:paraId="2149E2F6" w14:textId="77777777" w:rsidR="007C3CFD" w:rsidRPr="006763BE" w:rsidRDefault="007C3CFD" w:rsidP="006A5C8B">
            <w:pPr>
              <w:rPr>
                <w:rFonts w:ascii="Arial" w:hAnsi="Arial" w:cs="Arial"/>
                <w:lang w:eastAsia="ja-JP"/>
              </w:rPr>
            </w:pPr>
            <w:r w:rsidRPr="006763BE">
              <w:rPr>
                <w:rFonts w:ascii="Arial" w:hAnsi="Arial" w:cs="Arial"/>
                <w:lang w:eastAsia="ja-JP"/>
              </w:rPr>
              <w:t xml:space="preserve">110% of the largest container being loaded or unloaded </w:t>
            </w:r>
          </w:p>
        </w:tc>
      </w:tr>
      <w:tr w:rsidR="007C3CFD" w14:paraId="2149E2FB" w14:textId="77777777" w:rsidTr="006A5C8B">
        <w:trPr>
          <w:trHeight w:val="1129"/>
        </w:trPr>
        <w:tc>
          <w:tcPr>
            <w:tcW w:w="2986" w:type="dxa"/>
            <w:tcBorders>
              <w:top w:val="nil"/>
              <w:left w:val="single" w:sz="4" w:space="0" w:color="auto"/>
              <w:bottom w:val="single" w:sz="4" w:space="0" w:color="auto"/>
              <w:right w:val="single" w:sz="4" w:space="0" w:color="auto"/>
            </w:tcBorders>
            <w:vAlign w:val="bottom"/>
          </w:tcPr>
          <w:p w14:paraId="2149E2F8" w14:textId="77777777" w:rsidR="007C3CFD" w:rsidRPr="006763BE" w:rsidRDefault="007C3CFD" w:rsidP="006A5C8B">
            <w:pPr>
              <w:rPr>
                <w:rFonts w:ascii="Arial" w:hAnsi="Arial" w:cs="Arial"/>
                <w:lang w:eastAsia="ja-JP"/>
              </w:rPr>
            </w:pPr>
            <w:r w:rsidRPr="006763BE">
              <w:rPr>
                <w:rFonts w:ascii="Arial" w:hAnsi="Arial" w:cs="Arial"/>
                <w:lang w:eastAsia="ja-JP"/>
              </w:rPr>
              <w:t>Bulk tank vehicle loading and unloading areas (for loading or unloading fixed tanks)</w:t>
            </w:r>
          </w:p>
        </w:tc>
        <w:tc>
          <w:tcPr>
            <w:tcW w:w="2718" w:type="dxa"/>
            <w:tcBorders>
              <w:top w:val="nil"/>
              <w:left w:val="nil"/>
              <w:bottom w:val="single" w:sz="4" w:space="0" w:color="auto"/>
              <w:right w:val="single" w:sz="4" w:space="0" w:color="auto"/>
            </w:tcBorders>
            <w:shd w:val="clear" w:color="auto" w:fill="CCFFFF"/>
            <w:vAlign w:val="bottom"/>
          </w:tcPr>
          <w:p w14:paraId="2149E2F9" w14:textId="77777777" w:rsidR="007C3CFD" w:rsidRPr="006763BE" w:rsidRDefault="002E07E8" w:rsidP="002E07E8">
            <w:pPr>
              <w:rPr>
                <w:rFonts w:ascii="Arial" w:hAnsi="Arial" w:cs="Arial"/>
                <w:lang w:eastAsia="ja-JP"/>
              </w:rPr>
            </w:pPr>
            <w:r>
              <w:rPr>
                <w:rFonts w:ascii="Arial" w:hAnsi="Arial" w:cs="Arial"/>
                <w:lang w:eastAsia="ja-JP"/>
              </w:rPr>
              <w:t xml:space="preserve">Determine </w:t>
            </w:r>
            <w:r w:rsidRPr="006763BE">
              <w:rPr>
                <w:rFonts w:ascii="Arial" w:hAnsi="Arial" w:cs="Arial"/>
                <w:lang w:eastAsia="ja-JP"/>
              </w:rPr>
              <w:t xml:space="preserve">volume from </w:t>
            </w:r>
            <w:r>
              <w:rPr>
                <w:rFonts w:ascii="Arial" w:hAnsi="Arial" w:cs="Arial"/>
                <w:lang w:eastAsia="ja-JP"/>
              </w:rPr>
              <w:t xml:space="preserve">tank vehicle offloading hose </w:t>
            </w:r>
            <w:r w:rsidRPr="006763BE">
              <w:rPr>
                <w:rFonts w:ascii="Arial" w:hAnsi="Arial" w:cs="Arial"/>
                <w:lang w:eastAsia="ja-JP"/>
              </w:rPr>
              <w:t>connection failure scenario</w:t>
            </w:r>
            <w:r>
              <w:rPr>
                <w:rFonts w:ascii="Arial" w:hAnsi="Arial" w:cs="Arial"/>
                <w:lang w:eastAsia="ja-JP"/>
              </w:rPr>
              <w:t>;</w:t>
            </w:r>
            <w:r w:rsidRPr="006763BE">
              <w:rPr>
                <w:rFonts w:ascii="Arial" w:hAnsi="Arial" w:cs="Arial"/>
                <w:lang w:eastAsia="ja-JP"/>
              </w:rPr>
              <w:t xml:space="preserve"> </w:t>
            </w:r>
            <w:r>
              <w:rPr>
                <w:rFonts w:ascii="Arial" w:hAnsi="Arial" w:cs="Arial"/>
                <w:lang w:eastAsia="ja-JP"/>
              </w:rPr>
              <w:t>or from a site-determined spill risk scenario.</w:t>
            </w:r>
          </w:p>
        </w:tc>
        <w:tc>
          <w:tcPr>
            <w:tcW w:w="2673" w:type="dxa"/>
            <w:tcBorders>
              <w:top w:val="nil"/>
              <w:left w:val="nil"/>
              <w:bottom w:val="single" w:sz="4" w:space="0" w:color="auto"/>
              <w:right w:val="single" w:sz="4" w:space="0" w:color="auto"/>
            </w:tcBorders>
            <w:shd w:val="clear" w:color="auto" w:fill="FFCC99"/>
            <w:vAlign w:val="bottom"/>
          </w:tcPr>
          <w:p w14:paraId="2149E2FA" w14:textId="77777777" w:rsidR="007C3CFD" w:rsidRPr="006763BE" w:rsidRDefault="002E07E8" w:rsidP="006A5C8B">
            <w:pPr>
              <w:rPr>
                <w:rFonts w:ascii="Arial" w:hAnsi="Arial" w:cs="Arial"/>
                <w:lang w:eastAsia="ja-JP"/>
              </w:rPr>
            </w:pPr>
            <w:r>
              <w:rPr>
                <w:rFonts w:ascii="Arial" w:hAnsi="Arial" w:cs="Arial"/>
                <w:lang w:eastAsia="ja-JP"/>
              </w:rPr>
              <w:t xml:space="preserve">Determine </w:t>
            </w:r>
            <w:r w:rsidRPr="006763BE">
              <w:rPr>
                <w:rFonts w:ascii="Arial" w:hAnsi="Arial" w:cs="Arial"/>
                <w:lang w:eastAsia="ja-JP"/>
              </w:rPr>
              <w:t xml:space="preserve">volume from </w:t>
            </w:r>
            <w:r>
              <w:rPr>
                <w:rFonts w:ascii="Arial" w:hAnsi="Arial" w:cs="Arial"/>
                <w:lang w:eastAsia="ja-JP"/>
              </w:rPr>
              <w:t xml:space="preserve">tank vehicle offloading hose </w:t>
            </w:r>
            <w:r w:rsidRPr="006763BE">
              <w:rPr>
                <w:rFonts w:ascii="Arial" w:hAnsi="Arial" w:cs="Arial"/>
                <w:lang w:eastAsia="ja-JP"/>
              </w:rPr>
              <w:t>connection failure scenario</w:t>
            </w:r>
            <w:r>
              <w:rPr>
                <w:rFonts w:ascii="Arial" w:hAnsi="Arial" w:cs="Arial"/>
                <w:lang w:eastAsia="ja-JP"/>
              </w:rPr>
              <w:t>;</w:t>
            </w:r>
            <w:r w:rsidRPr="006763BE">
              <w:rPr>
                <w:rFonts w:ascii="Arial" w:hAnsi="Arial" w:cs="Arial"/>
                <w:lang w:eastAsia="ja-JP"/>
              </w:rPr>
              <w:t xml:space="preserve"> </w:t>
            </w:r>
            <w:r>
              <w:rPr>
                <w:rFonts w:ascii="Arial" w:hAnsi="Arial" w:cs="Arial"/>
                <w:lang w:eastAsia="ja-JP"/>
              </w:rPr>
              <w:t>or from a site-determined spill risk scenario.</w:t>
            </w:r>
          </w:p>
        </w:tc>
      </w:tr>
    </w:tbl>
    <w:p w14:paraId="2149E2FC" w14:textId="77777777" w:rsidR="007C3CFD" w:rsidRPr="004B371F" w:rsidRDefault="007C3CFD" w:rsidP="00C207DA"/>
    <w:p w14:paraId="2149E2FD" w14:textId="77777777" w:rsidR="007C3CFD" w:rsidRDefault="007C3CFD" w:rsidP="00C207DA"/>
    <w:p w14:paraId="2149E2FE" w14:textId="714632EB" w:rsidR="004567EF" w:rsidRDefault="00F93692" w:rsidP="00C207DA">
      <w:pPr>
        <w:rPr>
          <w:color w:val="1F497D"/>
        </w:rPr>
      </w:pPr>
      <w:r>
        <w:rPr>
          <w:noProof/>
          <w:color w:val="1F497D"/>
        </w:rPr>
        <w:drawing>
          <wp:inline distT="0" distB="0" distL="0" distR="0" wp14:anchorId="2149E36B" wp14:editId="650AFAD9">
            <wp:extent cx="5816600" cy="1544320"/>
            <wp:effectExtent l="19050" t="19050" r="12700" b="17780"/>
            <wp:docPr id="1" name="Picture 1" descr="cid:image001.jpg@01CF8A47.9B13F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A47.9B13F0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1544320"/>
                    </a:xfrm>
                    <a:prstGeom prst="rect">
                      <a:avLst/>
                    </a:prstGeom>
                    <a:noFill/>
                    <a:ln w="6350" cmpd="sng">
                      <a:solidFill>
                        <a:srgbClr val="000000"/>
                      </a:solidFill>
                      <a:miter lim="800000"/>
                      <a:headEnd/>
                      <a:tailEnd/>
                    </a:ln>
                    <a:effectLst/>
                  </pic:spPr>
                </pic:pic>
              </a:graphicData>
            </a:graphic>
          </wp:inline>
        </w:drawing>
      </w:r>
    </w:p>
    <w:p w14:paraId="2149E2FF" w14:textId="77777777" w:rsidR="00A253D3" w:rsidRPr="00A253D3" w:rsidRDefault="00A253D3" w:rsidP="00C207DA">
      <w:pPr>
        <w:rPr>
          <w:rFonts w:ascii="Arial" w:hAnsi="Arial" w:cs="Arial"/>
          <w:color w:val="1F497D"/>
        </w:rPr>
      </w:pPr>
      <w:r w:rsidRPr="00A253D3">
        <w:rPr>
          <w:rFonts w:ascii="Arial" w:hAnsi="Arial" w:cs="Arial"/>
          <w:color w:val="1F497D"/>
        </w:rPr>
        <w:t>Figure 1: Graphic describing outdoor containment capacity</w:t>
      </w:r>
      <w:r w:rsidR="00A422F7">
        <w:rPr>
          <w:rFonts w:ascii="Arial" w:hAnsi="Arial" w:cs="Arial"/>
          <w:color w:val="1F497D"/>
        </w:rPr>
        <w:t xml:space="preserve"> for outdoor locations constructed after the 2014 effective date of the standard.</w:t>
      </w:r>
      <w:r w:rsidRPr="00A253D3">
        <w:rPr>
          <w:rFonts w:ascii="Arial" w:hAnsi="Arial" w:cs="Arial"/>
          <w:color w:val="1F497D"/>
        </w:rPr>
        <w:t xml:space="preserve"> </w:t>
      </w:r>
      <w:r w:rsidR="00432D48" w:rsidRPr="00432D48">
        <w:rPr>
          <w:rFonts w:ascii="Arial" w:hAnsi="Arial" w:cs="Arial"/>
          <w:i/>
          <w:color w:val="1F497D"/>
        </w:rPr>
        <w:t>Elevation view, not to scale.</w:t>
      </w:r>
      <w:r w:rsidRPr="00A253D3">
        <w:rPr>
          <w:rFonts w:ascii="Arial" w:hAnsi="Arial" w:cs="Arial"/>
          <w:color w:val="1F497D"/>
        </w:rPr>
        <w:t xml:space="preserve"> </w:t>
      </w:r>
    </w:p>
    <w:p w14:paraId="2149E300" w14:textId="77777777" w:rsidR="00A253D3" w:rsidRPr="001A106E" w:rsidRDefault="00A253D3" w:rsidP="00C207DA">
      <w:r>
        <w:rPr>
          <w:color w:val="1F497D"/>
        </w:rPr>
        <w:t xml:space="preserve"> </w:t>
      </w:r>
    </w:p>
    <w:p w14:paraId="2149E301" w14:textId="77777777" w:rsidR="007C3CFD" w:rsidRDefault="007C3CFD" w:rsidP="00C207DA"/>
    <w:p w14:paraId="2149E302" w14:textId="77777777" w:rsidR="00B01CE7" w:rsidRDefault="007C3CFD">
      <w:pPr>
        <w:pStyle w:val="Heading2"/>
      </w:pPr>
      <w:bookmarkStart w:id="46" w:name="_Toc289954602"/>
      <w:bookmarkStart w:id="47" w:name="_Toc319425045"/>
      <w:r>
        <w:t>Record Keeping</w:t>
      </w:r>
      <w:bookmarkEnd w:id="46"/>
      <w:bookmarkEnd w:id="47"/>
      <w:r>
        <w:t xml:space="preserve"> </w:t>
      </w:r>
    </w:p>
    <w:p w14:paraId="2149E303" w14:textId="77777777" w:rsidR="00B01CE7" w:rsidRDefault="007C3CFD">
      <w:pPr>
        <w:pStyle w:val="Heading3"/>
      </w:pPr>
      <w:r>
        <w:t xml:space="preserve">Spill control facility inspections, storm water or residue analyses, and maintenance records shall be kept at the site for a minimum of three years. </w:t>
      </w:r>
    </w:p>
    <w:p w14:paraId="2149E304" w14:textId="77777777" w:rsidR="00B01CE7" w:rsidRDefault="007C3CFD">
      <w:pPr>
        <w:pStyle w:val="Heading2"/>
      </w:pPr>
      <w:bookmarkStart w:id="48" w:name="_Toc289954601"/>
      <w:bookmarkStart w:id="49" w:name="_Toc319425046"/>
      <w:r>
        <w:t>Training</w:t>
      </w:r>
      <w:bookmarkEnd w:id="48"/>
      <w:bookmarkEnd w:id="49"/>
      <w:r>
        <w:t xml:space="preserve"> </w:t>
      </w:r>
    </w:p>
    <w:p w14:paraId="2149E305" w14:textId="77777777" w:rsidR="00B01CE7" w:rsidRDefault="007C3CFD">
      <w:pPr>
        <w:pStyle w:val="Heading3"/>
      </w:pPr>
      <w:r>
        <w:t xml:space="preserve">Sites shall provide initial training and refresher training every three years for personnel responsible for the maintenance, operation, and management of the site's </w:t>
      </w:r>
      <w:r w:rsidR="00C7148E" w:rsidRPr="00C7148E">
        <w:rPr>
          <w:b/>
        </w:rPr>
        <w:t>spill control facilities</w:t>
      </w:r>
      <w:r>
        <w:t xml:space="preserve">.   </w:t>
      </w:r>
    </w:p>
    <w:p w14:paraId="2149E306" w14:textId="77777777" w:rsidR="00B01CE7" w:rsidRDefault="007C3CFD">
      <w:pPr>
        <w:pStyle w:val="Heading4"/>
        <w:tabs>
          <w:tab w:val="num" w:pos="2520"/>
        </w:tabs>
        <w:ind w:left="2340" w:hanging="720"/>
      </w:pPr>
      <w:r>
        <w:t>Training shall include the components of the site’s spill control program.</w:t>
      </w:r>
    </w:p>
    <w:p w14:paraId="2149E307" w14:textId="77777777" w:rsidR="00B01CE7" w:rsidRDefault="007C3CFD">
      <w:pPr>
        <w:pStyle w:val="Heading4"/>
        <w:tabs>
          <w:tab w:val="num" w:pos="2520"/>
        </w:tabs>
        <w:ind w:left="2520"/>
      </w:pPr>
      <w:r>
        <w:t>Each site shall ensure that affected employees are trained on their roles and responsibilities</w:t>
      </w:r>
      <w:r w:rsidR="00151C0D">
        <w:t>.</w:t>
      </w:r>
    </w:p>
    <w:p w14:paraId="2149E308" w14:textId="77777777" w:rsidR="007C3CFD" w:rsidRPr="00C207DA" w:rsidRDefault="007C3CFD" w:rsidP="00C207DA"/>
    <w:bookmarkEnd w:id="21"/>
    <w:p w14:paraId="2149E309" w14:textId="77777777" w:rsidR="007C3CFD" w:rsidRDefault="007C3CFD"/>
    <w:p w14:paraId="2149E30A" w14:textId="77777777" w:rsidR="007C3CFD" w:rsidRDefault="007C3CFD">
      <w:pPr>
        <w:pStyle w:val="Heading1"/>
      </w:pPr>
      <w:bookmarkStart w:id="50" w:name="_Toc310406362"/>
      <w:bookmarkStart w:id="51" w:name="_Toc310781425"/>
      <w:bookmarkStart w:id="52" w:name="_Toc310923211"/>
      <w:bookmarkStart w:id="53" w:name="_Toc310923290"/>
      <w:bookmarkStart w:id="54" w:name="_Toc310923371"/>
      <w:bookmarkStart w:id="55" w:name="_Toc310406363"/>
      <w:bookmarkStart w:id="56" w:name="_Toc310781426"/>
      <w:bookmarkStart w:id="57" w:name="_Toc310923212"/>
      <w:bookmarkStart w:id="58" w:name="_Toc310923291"/>
      <w:bookmarkStart w:id="59" w:name="_Toc310923372"/>
      <w:bookmarkStart w:id="60" w:name="_Toc310406364"/>
      <w:bookmarkStart w:id="61" w:name="_Toc310781427"/>
      <w:bookmarkStart w:id="62" w:name="_Toc310923213"/>
      <w:bookmarkStart w:id="63" w:name="_Toc310923292"/>
      <w:bookmarkStart w:id="64" w:name="_Toc310923373"/>
      <w:bookmarkStart w:id="65" w:name="_Toc310406365"/>
      <w:bookmarkStart w:id="66" w:name="_Toc310781428"/>
      <w:bookmarkStart w:id="67" w:name="_Toc310923214"/>
      <w:bookmarkStart w:id="68" w:name="_Toc310923293"/>
      <w:bookmarkStart w:id="69" w:name="_Toc310923374"/>
      <w:bookmarkStart w:id="70" w:name="_Toc310406366"/>
      <w:bookmarkStart w:id="71" w:name="_Toc310781429"/>
      <w:bookmarkStart w:id="72" w:name="_Toc310923215"/>
      <w:bookmarkStart w:id="73" w:name="_Toc310923294"/>
      <w:bookmarkStart w:id="74" w:name="_Toc310923375"/>
      <w:bookmarkStart w:id="75" w:name="_Toc310406367"/>
      <w:bookmarkStart w:id="76" w:name="_Toc310781430"/>
      <w:bookmarkStart w:id="77" w:name="_Toc310923216"/>
      <w:bookmarkStart w:id="78" w:name="_Toc310923295"/>
      <w:bookmarkStart w:id="79" w:name="_Toc310923376"/>
      <w:bookmarkStart w:id="80" w:name="_Toc310406368"/>
      <w:bookmarkStart w:id="81" w:name="_Toc310781431"/>
      <w:bookmarkStart w:id="82" w:name="_Toc310923217"/>
      <w:bookmarkStart w:id="83" w:name="_Toc310923296"/>
      <w:bookmarkStart w:id="84" w:name="_Toc310923377"/>
      <w:bookmarkStart w:id="85" w:name="_Toc310406369"/>
      <w:bookmarkStart w:id="86" w:name="_Toc310781432"/>
      <w:bookmarkStart w:id="87" w:name="_Toc310923218"/>
      <w:bookmarkStart w:id="88" w:name="_Toc310923297"/>
      <w:bookmarkStart w:id="89" w:name="_Toc310923378"/>
      <w:bookmarkStart w:id="90" w:name="_Toc310406370"/>
      <w:bookmarkStart w:id="91" w:name="_Toc310781433"/>
      <w:bookmarkStart w:id="92" w:name="_Toc310923219"/>
      <w:bookmarkStart w:id="93" w:name="_Toc310923298"/>
      <w:bookmarkStart w:id="94" w:name="_Toc310923379"/>
      <w:bookmarkStart w:id="95" w:name="_Toc310406371"/>
      <w:bookmarkStart w:id="96" w:name="_Toc310781434"/>
      <w:bookmarkStart w:id="97" w:name="_Toc310923220"/>
      <w:bookmarkStart w:id="98" w:name="_Toc310923299"/>
      <w:bookmarkStart w:id="99" w:name="_Toc310923380"/>
      <w:bookmarkStart w:id="100" w:name="_Toc310406372"/>
      <w:bookmarkStart w:id="101" w:name="_Toc310781435"/>
      <w:bookmarkStart w:id="102" w:name="_Toc310923221"/>
      <w:bookmarkStart w:id="103" w:name="_Toc310923300"/>
      <w:bookmarkStart w:id="104" w:name="_Toc310923381"/>
      <w:bookmarkStart w:id="105" w:name="_Toc310406373"/>
      <w:bookmarkStart w:id="106" w:name="_Toc310781436"/>
      <w:bookmarkStart w:id="107" w:name="_Toc310923222"/>
      <w:bookmarkStart w:id="108" w:name="_Toc310923301"/>
      <w:bookmarkStart w:id="109" w:name="_Toc310923382"/>
      <w:bookmarkStart w:id="110" w:name="_Toc310406374"/>
      <w:bookmarkStart w:id="111" w:name="_Toc310781437"/>
      <w:bookmarkStart w:id="112" w:name="_Toc310923223"/>
      <w:bookmarkStart w:id="113" w:name="_Toc310923302"/>
      <w:bookmarkStart w:id="114" w:name="_Toc310923383"/>
      <w:bookmarkStart w:id="115" w:name="_Toc310406375"/>
      <w:bookmarkStart w:id="116" w:name="_Toc310781438"/>
      <w:bookmarkStart w:id="117" w:name="_Toc310923224"/>
      <w:bookmarkStart w:id="118" w:name="_Toc310923303"/>
      <w:bookmarkStart w:id="119" w:name="_Toc310923384"/>
      <w:bookmarkStart w:id="120" w:name="_Toc310406376"/>
      <w:bookmarkStart w:id="121" w:name="_Toc310781439"/>
      <w:bookmarkStart w:id="122" w:name="_Toc310923225"/>
      <w:bookmarkStart w:id="123" w:name="_Toc310923304"/>
      <w:bookmarkStart w:id="124" w:name="_Toc310923385"/>
      <w:bookmarkStart w:id="125" w:name="_Toc310406377"/>
      <w:bookmarkStart w:id="126" w:name="_Toc310781440"/>
      <w:bookmarkStart w:id="127" w:name="_Toc310923226"/>
      <w:bookmarkStart w:id="128" w:name="_Toc310923305"/>
      <w:bookmarkStart w:id="129" w:name="_Toc310923386"/>
      <w:bookmarkStart w:id="130" w:name="_Toc310406378"/>
      <w:bookmarkStart w:id="131" w:name="_Toc310781441"/>
      <w:bookmarkStart w:id="132" w:name="_Toc310923227"/>
      <w:bookmarkStart w:id="133" w:name="_Toc310923306"/>
      <w:bookmarkStart w:id="134" w:name="_Toc310923387"/>
      <w:bookmarkStart w:id="135" w:name="_Toc310406379"/>
      <w:bookmarkStart w:id="136" w:name="_Toc310781442"/>
      <w:bookmarkStart w:id="137" w:name="_Toc310923228"/>
      <w:bookmarkStart w:id="138" w:name="_Toc310923307"/>
      <w:bookmarkStart w:id="139" w:name="_Toc310923388"/>
      <w:bookmarkStart w:id="140" w:name="_Toc310406380"/>
      <w:bookmarkStart w:id="141" w:name="_Toc310781443"/>
      <w:bookmarkStart w:id="142" w:name="_Toc310923229"/>
      <w:bookmarkStart w:id="143" w:name="_Toc310923308"/>
      <w:bookmarkStart w:id="144" w:name="_Toc310923389"/>
      <w:bookmarkStart w:id="145" w:name="_Toc310406381"/>
      <w:bookmarkStart w:id="146" w:name="_Toc310781444"/>
      <w:bookmarkStart w:id="147" w:name="_Toc310923230"/>
      <w:bookmarkStart w:id="148" w:name="_Toc310923309"/>
      <w:bookmarkStart w:id="149" w:name="_Toc310923390"/>
      <w:bookmarkStart w:id="150" w:name="_Toc310406382"/>
      <w:bookmarkStart w:id="151" w:name="_Toc310781445"/>
      <w:bookmarkStart w:id="152" w:name="_Toc310923231"/>
      <w:bookmarkStart w:id="153" w:name="_Toc310923310"/>
      <w:bookmarkStart w:id="154" w:name="_Toc310923391"/>
      <w:bookmarkStart w:id="155" w:name="_Toc310406383"/>
      <w:bookmarkStart w:id="156" w:name="_Toc310781446"/>
      <w:bookmarkStart w:id="157" w:name="_Toc310923232"/>
      <w:bookmarkStart w:id="158" w:name="_Toc310923311"/>
      <w:bookmarkStart w:id="159" w:name="_Toc310923392"/>
      <w:bookmarkStart w:id="160" w:name="_Toc310406384"/>
      <w:bookmarkStart w:id="161" w:name="_Toc310781447"/>
      <w:bookmarkStart w:id="162" w:name="_Toc310923233"/>
      <w:bookmarkStart w:id="163" w:name="_Toc310923312"/>
      <w:bookmarkStart w:id="164" w:name="_Toc310923393"/>
      <w:bookmarkStart w:id="165" w:name="_Toc310406385"/>
      <w:bookmarkStart w:id="166" w:name="_Toc310781448"/>
      <w:bookmarkStart w:id="167" w:name="_Toc310923234"/>
      <w:bookmarkStart w:id="168" w:name="_Toc310923313"/>
      <w:bookmarkStart w:id="169" w:name="_Toc310923394"/>
      <w:bookmarkStart w:id="170" w:name="_Toc524336029"/>
      <w:bookmarkStart w:id="171" w:name="_Toc524336236"/>
      <w:bookmarkStart w:id="172" w:name="_Toc524347347"/>
      <w:bookmarkStart w:id="173" w:name="_Toc310781449"/>
      <w:bookmarkStart w:id="174" w:name="_Toc3194250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STANDARD Approval</w:t>
      </w:r>
      <w:bookmarkEnd w:id="170"/>
      <w:bookmarkEnd w:id="171"/>
      <w:bookmarkEnd w:id="172"/>
      <w:bookmarkEnd w:id="173"/>
      <w:bookmarkEnd w:id="174"/>
    </w:p>
    <w:p w14:paraId="2149E30B" w14:textId="77777777" w:rsidR="007C3CFD" w:rsidRDefault="007C3CFD">
      <w:pPr>
        <w:pStyle w:val="BodyTextIndent"/>
        <w:rPr>
          <w:rFonts w:ascii="Arial" w:hAnsi="Arial" w:cs="Arial"/>
        </w:rPr>
      </w:pPr>
      <w:r w:rsidRPr="00433344">
        <w:rPr>
          <w:rFonts w:ascii="Arial" w:hAnsi="Arial" w:cs="Arial"/>
        </w:rPr>
        <w:t>This standard has been approved by David Thomas, TI Vice President.</w:t>
      </w:r>
    </w:p>
    <w:p w14:paraId="2149E30C" w14:textId="77777777" w:rsidR="007C3CFD" w:rsidRDefault="007C3CFD">
      <w:pPr>
        <w:pStyle w:val="BodyTextIndent"/>
        <w:rPr>
          <w:rFonts w:ascii="Arial" w:hAnsi="Arial" w:cs="Arial"/>
        </w:rPr>
      </w:pPr>
    </w:p>
    <w:p w14:paraId="2149E30D" w14:textId="77777777" w:rsidR="007C3CFD" w:rsidRDefault="007C3CFD">
      <w:pPr>
        <w:pStyle w:val="BodyTextIndent"/>
        <w:rPr>
          <w:rFonts w:ascii="Arial" w:hAnsi="Arial" w:cs="Arial"/>
        </w:rPr>
      </w:pPr>
    </w:p>
    <w:p w14:paraId="2149E30E" w14:textId="77777777" w:rsidR="007C3CFD" w:rsidRDefault="007C3CFD">
      <w:pPr>
        <w:pStyle w:val="BodyTextIndent"/>
        <w:rPr>
          <w:rFonts w:ascii="Arial" w:hAnsi="Arial" w:cs="Arial"/>
        </w:rPr>
      </w:pPr>
    </w:p>
    <w:p w14:paraId="2149E30F" w14:textId="77777777" w:rsidR="007C3CFD" w:rsidRDefault="007C3CFD">
      <w:pPr>
        <w:pStyle w:val="BodyTextIndent"/>
        <w:rPr>
          <w:rFonts w:ascii="Arial" w:hAnsi="Arial" w:cs="Arial"/>
        </w:rPr>
      </w:pPr>
    </w:p>
    <w:p w14:paraId="2149E310" w14:textId="77777777" w:rsidR="007C3CFD" w:rsidRPr="00433344" w:rsidRDefault="007C3CFD">
      <w:pPr>
        <w:pStyle w:val="BodyTextIndent"/>
        <w:rPr>
          <w:rFonts w:ascii="Arial" w:hAnsi="Arial" w:cs="Arial"/>
        </w:rPr>
      </w:pPr>
    </w:p>
    <w:p w14:paraId="2149E311" w14:textId="77777777" w:rsidR="007C3CFD" w:rsidRDefault="007C3CFD">
      <w:pPr>
        <w:pStyle w:val="Heading1"/>
      </w:pPr>
      <w:bookmarkStart w:id="175" w:name="_Toc309109909"/>
      <w:bookmarkStart w:id="176" w:name="_Toc309109947"/>
      <w:bookmarkStart w:id="177" w:name="_Toc309110041"/>
      <w:bookmarkStart w:id="178" w:name="_Toc309109910"/>
      <w:bookmarkStart w:id="179" w:name="_Toc309109948"/>
      <w:bookmarkStart w:id="180" w:name="_Toc309110042"/>
      <w:bookmarkStart w:id="181" w:name="_Toc309109911"/>
      <w:bookmarkStart w:id="182" w:name="_Toc309109949"/>
      <w:bookmarkStart w:id="183" w:name="_Toc309110043"/>
      <w:bookmarkStart w:id="184" w:name="_Toc305926574"/>
      <w:bookmarkStart w:id="185" w:name="_Toc306000479"/>
      <w:bookmarkStart w:id="186" w:name="_Toc306190864"/>
      <w:bookmarkStart w:id="187" w:name="_Toc306254602"/>
      <w:bookmarkStart w:id="188" w:name="_Toc308588209"/>
      <w:bookmarkStart w:id="189" w:name="_Toc308588243"/>
      <w:bookmarkStart w:id="190" w:name="_Toc309109912"/>
      <w:bookmarkStart w:id="191" w:name="_Toc309109950"/>
      <w:bookmarkStart w:id="192" w:name="_Toc309110044"/>
      <w:bookmarkStart w:id="193" w:name="_Toc305926575"/>
      <w:bookmarkStart w:id="194" w:name="_Toc306000480"/>
      <w:bookmarkStart w:id="195" w:name="_Toc306190865"/>
      <w:bookmarkStart w:id="196" w:name="_Toc306254603"/>
      <w:bookmarkStart w:id="197" w:name="_Toc308588210"/>
      <w:bookmarkStart w:id="198" w:name="_Toc308588244"/>
      <w:bookmarkStart w:id="199" w:name="_Toc309109913"/>
      <w:bookmarkStart w:id="200" w:name="_Toc309109951"/>
      <w:bookmarkStart w:id="201" w:name="_Toc309110045"/>
      <w:bookmarkStart w:id="202" w:name="_Toc309214578"/>
      <w:bookmarkStart w:id="203" w:name="_Toc309218857"/>
      <w:bookmarkStart w:id="204" w:name="_Toc309219209"/>
      <w:bookmarkStart w:id="205" w:name="_Toc309279217"/>
      <w:bookmarkStart w:id="206" w:name="_Toc309279471"/>
      <w:bookmarkStart w:id="207" w:name="_Toc310406387"/>
      <w:bookmarkStart w:id="208" w:name="_Toc310781450"/>
      <w:bookmarkStart w:id="209" w:name="_Toc310923236"/>
      <w:bookmarkStart w:id="210" w:name="_Toc310923315"/>
      <w:bookmarkStart w:id="211" w:name="_Toc310923396"/>
      <w:bookmarkStart w:id="212" w:name="_Toc310781451"/>
      <w:bookmarkStart w:id="213" w:name="_Toc31942504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Revision history</w:t>
      </w:r>
      <w:bookmarkEnd w:id="212"/>
      <w:bookmarkEnd w:id="213"/>
    </w:p>
    <w:p w14:paraId="2149E312" w14:textId="77777777" w:rsidR="007C3CFD" w:rsidRPr="00982CA5" w:rsidRDefault="007C3CFD" w:rsidP="00982CA5"/>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C3CFD" w:rsidRPr="00753336" w14:paraId="2149E318" w14:textId="77777777" w:rsidTr="00DA6132">
        <w:tc>
          <w:tcPr>
            <w:tcW w:w="990" w:type="dxa"/>
          </w:tcPr>
          <w:p w14:paraId="2149E313" w14:textId="77777777" w:rsidR="007C3CFD" w:rsidRPr="00753336" w:rsidRDefault="007C3CFD" w:rsidP="00AF5A51">
            <w:pPr>
              <w:keepNext/>
              <w:keepLines/>
              <w:jc w:val="center"/>
              <w:rPr>
                <w:b/>
              </w:rPr>
            </w:pPr>
            <w:r w:rsidRPr="00753336">
              <w:rPr>
                <w:b/>
              </w:rPr>
              <w:t>Rev#</w:t>
            </w:r>
          </w:p>
        </w:tc>
        <w:tc>
          <w:tcPr>
            <w:tcW w:w="1456" w:type="dxa"/>
          </w:tcPr>
          <w:p w14:paraId="2149E314" w14:textId="77777777" w:rsidR="007C3CFD" w:rsidRPr="00753336" w:rsidRDefault="007C3CFD" w:rsidP="00AF5A51">
            <w:pPr>
              <w:keepNext/>
              <w:keepLines/>
              <w:jc w:val="center"/>
              <w:rPr>
                <w:b/>
              </w:rPr>
            </w:pPr>
            <w:r w:rsidRPr="00753336">
              <w:rPr>
                <w:b/>
              </w:rPr>
              <w:t>Date</w:t>
            </w:r>
          </w:p>
        </w:tc>
        <w:tc>
          <w:tcPr>
            <w:tcW w:w="3369" w:type="dxa"/>
          </w:tcPr>
          <w:p w14:paraId="2149E315" w14:textId="77777777" w:rsidR="007C3CFD" w:rsidRPr="00753336" w:rsidRDefault="007C3CFD" w:rsidP="00AF5A51">
            <w:pPr>
              <w:keepNext/>
              <w:keepLines/>
              <w:jc w:val="center"/>
              <w:rPr>
                <w:b/>
              </w:rPr>
            </w:pPr>
            <w:r w:rsidRPr="00753336">
              <w:rPr>
                <w:b/>
              </w:rPr>
              <w:t>Nature of Revision</w:t>
            </w:r>
          </w:p>
        </w:tc>
        <w:tc>
          <w:tcPr>
            <w:tcW w:w="1708" w:type="dxa"/>
          </w:tcPr>
          <w:p w14:paraId="2149E316" w14:textId="77777777" w:rsidR="007C3CFD" w:rsidRPr="00753336" w:rsidRDefault="007C3CFD" w:rsidP="00AF5A51">
            <w:pPr>
              <w:keepNext/>
              <w:keepLines/>
              <w:jc w:val="center"/>
              <w:rPr>
                <w:b/>
              </w:rPr>
            </w:pPr>
            <w:r w:rsidRPr="00753336">
              <w:rPr>
                <w:b/>
              </w:rPr>
              <w:t>Author/Editor</w:t>
            </w:r>
          </w:p>
        </w:tc>
        <w:tc>
          <w:tcPr>
            <w:tcW w:w="1495" w:type="dxa"/>
          </w:tcPr>
          <w:p w14:paraId="2149E317" w14:textId="77777777" w:rsidR="007C3CFD" w:rsidRPr="00753336" w:rsidRDefault="007C3CFD" w:rsidP="00AF5A51">
            <w:pPr>
              <w:keepNext/>
              <w:keepLines/>
              <w:jc w:val="center"/>
              <w:rPr>
                <w:b/>
              </w:rPr>
            </w:pPr>
            <w:r w:rsidRPr="00753336">
              <w:rPr>
                <w:b/>
              </w:rPr>
              <w:t>Approver</w:t>
            </w:r>
          </w:p>
        </w:tc>
      </w:tr>
      <w:tr w:rsidR="007C3CFD" w:rsidRPr="00753336" w14:paraId="2149E31E" w14:textId="77777777" w:rsidTr="00DA6132">
        <w:tc>
          <w:tcPr>
            <w:tcW w:w="990" w:type="dxa"/>
          </w:tcPr>
          <w:p w14:paraId="2149E319" w14:textId="77777777" w:rsidR="007C3CFD" w:rsidRPr="00753336" w:rsidRDefault="007C3CFD" w:rsidP="00AF5A51">
            <w:pPr>
              <w:keepNext/>
              <w:keepLines/>
              <w:jc w:val="center"/>
            </w:pPr>
            <w:r>
              <w:t>A</w:t>
            </w:r>
          </w:p>
        </w:tc>
        <w:tc>
          <w:tcPr>
            <w:tcW w:w="1456" w:type="dxa"/>
          </w:tcPr>
          <w:p w14:paraId="2149E31A" w14:textId="77777777" w:rsidR="007C3CFD" w:rsidRPr="00753336" w:rsidRDefault="007C3CFD" w:rsidP="00AF5A51">
            <w:pPr>
              <w:keepNext/>
              <w:keepLines/>
              <w:jc w:val="center"/>
            </w:pPr>
            <w:r>
              <w:t>12/31/2006</w:t>
            </w:r>
          </w:p>
        </w:tc>
        <w:tc>
          <w:tcPr>
            <w:tcW w:w="3369" w:type="dxa"/>
          </w:tcPr>
          <w:p w14:paraId="2149E31B" w14:textId="77777777" w:rsidR="007C3CFD" w:rsidRDefault="007C3CFD" w:rsidP="00675200">
            <w:pPr>
              <w:keepNext/>
              <w:keepLines/>
            </w:pPr>
            <w:r>
              <w:t>Major periodic review; merger of 03.01E Chemical Storage, ENV01.02 Spill Control Plans, 03.08 Chemical Spill Response;</w:t>
            </w:r>
          </w:p>
        </w:tc>
        <w:tc>
          <w:tcPr>
            <w:tcW w:w="1708" w:type="dxa"/>
          </w:tcPr>
          <w:p w14:paraId="2149E31C" w14:textId="77777777" w:rsidR="007C3CFD" w:rsidRDefault="007C3CFD" w:rsidP="00675200">
            <w:pPr>
              <w:keepNext/>
              <w:keepLines/>
            </w:pPr>
            <w:r>
              <w:t>Mike Alton, Kim Dawson</w:t>
            </w:r>
          </w:p>
        </w:tc>
        <w:tc>
          <w:tcPr>
            <w:tcW w:w="1495" w:type="dxa"/>
          </w:tcPr>
          <w:p w14:paraId="2149E31D" w14:textId="77777777" w:rsidR="007C3CFD" w:rsidRPr="00753336" w:rsidRDefault="007C3CFD" w:rsidP="00AF5A51">
            <w:pPr>
              <w:keepNext/>
              <w:keepLines/>
              <w:jc w:val="center"/>
            </w:pPr>
            <w:r>
              <w:t>Brenda Harrison</w:t>
            </w:r>
          </w:p>
        </w:tc>
      </w:tr>
      <w:tr w:rsidR="007C3CFD" w:rsidRPr="00753336" w14:paraId="2149E324" w14:textId="77777777" w:rsidTr="00DA6132">
        <w:tc>
          <w:tcPr>
            <w:tcW w:w="990" w:type="dxa"/>
          </w:tcPr>
          <w:p w14:paraId="2149E31F" w14:textId="77777777" w:rsidR="007C3CFD" w:rsidRPr="00753336" w:rsidRDefault="007C3CFD" w:rsidP="00AF5A51">
            <w:pPr>
              <w:keepNext/>
              <w:keepLines/>
              <w:jc w:val="center"/>
            </w:pPr>
            <w:r>
              <w:t>B</w:t>
            </w:r>
          </w:p>
        </w:tc>
        <w:tc>
          <w:tcPr>
            <w:tcW w:w="1456" w:type="dxa"/>
          </w:tcPr>
          <w:p w14:paraId="2149E320" w14:textId="77777777" w:rsidR="007C3CFD" w:rsidRDefault="007C3CFD" w:rsidP="00AF5A51">
            <w:pPr>
              <w:keepNext/>
              <w:keepLines/>
              <w:jc w:val="center"/>
            </w:pPr>
            <w:r>
              <w:t>11/06/2008</w:t>
            </w:r>
          </w:p>
        </w:tc>
        <w:tc>
          <w:tcPr>
            <w:tcW w:w="3369" w:type="dxa"/>
          </w:tcPr>
          <w:p w14:paraId="2149E321" w14:textId="77777777" w:rsidR="007C3CFD" w:rsidRDefault="007C3CFD" w:rsidP="00675200">
            <w:pPr>
              <w:keepNext/>
              <w:keepLines/>
            </w:pPr>
            <w:r>
              <w:t>Updated link in Appendix A</w:t>
            </w:r>
          </w:p>
        </w:tc>
        <w:tc>
          <w:tcPr>
            <w:tcW w:w="1708" w:type="dxa"/>
          </w:tcPr>
          <w:p w14:paraId="2149E322" w14:textId="77777777" w:rsidR="007C3CFD" w:rsidRDefault="007C3CFD" w:rsidP="00675200">
            <w:pPr>
              <w:keepNext/>
              <w:keepLines/>
            </w:pPr>
            <w:r>
              <w:t>John Willis</w:t>
            </w:r>
          </w:p>
        </w:tc>
        <w:tc>
          <w:tcPr>
            <w:tcW w:w="1495" w:type="dxa"/>
          </w:tcPr>
          <w:p w14:paraId="2149E323" w14:textId="77777777" w:rsidR="007C3CFD" w:rsidRPr="00753336" w:rsidRDefault="007C3CFD" w:rsidP="00AF5A51">
            <w:pPr>
              <w:keepNext/>
              <w:keepLines/>
              <w:jc w:val="center"/>
            </w:pPr>
            <w:r>
              <w:t>Brenda Harrison</w:t>
            </w:r>
          </w:p>
        </w:tc>
      </w:tr>
      <w:tr w:rsidR="007C3CFD" w:rsidRPr="00753336" w14:paraId="2149E32A" w14:textId="77777777" w:rsidTr="00DA6132">
        <w:tc>
          <w:tcPr>
            <w:tcW w:w="990" w:type="dxa"/>
          </w:tcPr>
          <w:p w14:paraId="2149E325" w14:textId="77777777" w:rsidR="007C3CFD" w:rsidRDefault="007C3CFD" w:rsidP="00AF5A51">
            <w:pPr>
              <w:keepNext/>
              <w:keepLines/>
              <w:jc w:val="center"/>
            </w:pPr>
            <w:r>
              <w:t>C</w:t>
            </w:r>
          </w:p>
        </w:tc>
        <w:tc>
          <w:tcPr>
            <w:tcW w:w="1456" w:type="dxa"/>
          </w:tcPr>
          <w:p w14:paraId="2149E326" w14:textId="77777777" w:rsidR="007C3CFD" w:rsidRDefault="007C3CFD" w:rsidP="00F67C0E">
            <w:pPr>
              <w:keepNext/>
              <w:keepLines/>
              <w:jc w:val="center"/>
            </w:pPr>
            <w:r>
              <w:t>xx/xx/20</w:t>
            </w:r>
            <w:r w:rsidR="00F67C0E">
              <w:t>12</w:t>
            </w:r>
          </w:p>
        </w:tc>
        <w:tc>
          <w:tcPr>
            <w:tcW w:w="3369" w:type="dxa"/>
          </w:tcPr>
          <w:p w14:paraId="2149E327" w14:textId="77777777" w:rsidR="007C3CFD" w:rsidRDefault="00F67C0E" w:rsidP="00085246">
            <w:pPr>
              <w:keepNext/>
              <w:keepLines/>
            </w:pPr>
            <w:r>
              <w:t>Reformatted and renumbered. R</w:t>
            </w:r>
            <w:r w:rsidR="007C3CFD">
              <w:t xml:space="preserve">emoved certain US regulatory requirements; aligned with worldwide standards; spill control sections placed in sequence; created </w:t>
            </w:r>
            <w:r w:rsidR="00085246">
              <w:t xml:space="preserve">new </w:t>
            </w:r>
            <w:r w:rsidR="007C3CFD">
              <w:t xml:space="preserve">table for spill control </w:t>
            </w:r>
            <w:r>
              <w:t>capacities</w:t>
            </w:r>
            <w:r w:rsidR="007C3CFD">
              <w:t>; removed redundant requirements appearing in other TI standards.</w:t>
            </w:r>
          </w:p>
        </w:tc>
        <w:tc>
          <w:tcPr>
            <w:tcW w:w="1708" w:type="dxa"/>
          </w:tcPr>
          <w:p w14:paraId="2149E328" w14:textId="77777777" w:rsidR="007C3CFD" w:rsidRDefault="007C3CFD" w:rsidP="00675200">
            <w:pPr>
              <w:keepNext/>
              <w:keepLines/>
            </w:pPr>
            <w:r>
              <w:t>John Willis</w:t>
            </w:r>
          </w:p>
        </w:tc>
        <w:tc>
          <w:tcPr>
            <w:tcW w:w="1495" w:type="dxa"/>
          </w:tcPr>
          <w:p w14:paraId="2149E329" w14:textId="77777777" w:rsidR="007C3CFD" w:rsidRDefault="007C3CFD" w:rsidP="00AF5A51">
            <w:pPr>
              <w:keepNext/>
              <w:keepLines/>
              <w:jc w:val="center"/>
            </w:pPr>
          </w:p>
        </w:tc>
      </w:tr>
      <w:tr w:rsidR="007C3CFD" w:rsidRPr="00753336" w14:paraId="2149E330" w14:textId="77777777" w:rsidTr="00DA6132">
        <w:tc>
          <w:tcPr>
            <w:tcW w:w="990" w:type="dxa"/>
          </w:tcPr>
          <w:p w14:paraId="2149E32B" w14:textId="3538ECA0" w:rsidR="007C3CFD" w:rsidRDefault="00BD377E" w:rsidP="00AF5A51">
            <w:pPr>
              <w:keepNext/>
              <w:keepLines/>
              <w:jc w:val="center"/>
            </w:pPr>
            <w:r>
              <w:t>D</w:t>
            </w:r>
          </w:p>
        </w:tc>
        <w:tc>
          <w:tcPr>
            <w:tcW w:w="1456" w:type="dxa"/>
          </w:tcPr>
          <w:p w14:paraId="2149E32C" w14:textId="7699EB37" w:rsidR="007C3CFD" w:rsidRDefault="00BD377E" w:rsidP="00AF5A51">
            <w:pPr>
              <w:keepNext/>
              <w:keepLines/>
              <w:jc w:val="center"/>
            </w:pPr>
            <w:r>
              <w:t>05/24/2017</w:t>
            </w:r>
          </w:p>
        </w:tc>
        <w:tc>
          <w:tcPr>
            <w:tcW w:w="3369" w:type="dxa"/>
          </w:tcPr>
          <w:p w14:paraId="2149E32D" w14:textId="56FA7D57" w:rsidR="007C3CFD" w:rsidRDefault="00BD377E" w:rsidP="00675200">
            <w:pPr>
              <w:keepNext/>
              <w:keepLines/>
            </w:pPr>
            <w:r>
              <w:t>No changes – administrative only</w:t>
            </w:r>
          </w:p>
        </w:tc>
        <w:tc>
          <w:tcPr>
            <w:tcW w:w="1708" w:type="dxa"/>
          </w:tcPr>
          <w:p w14:paraId="2149E32E" w14:textId="62A7647F" w:rsidR="007C3CFD" w:rsidRDefault="00BD377E" w:rsidP="00AF5A51">
            <w:pPr>
              <w:keepNext/>
              <w:keepLines/>
              <w:jc w:val="center"/>
            </w:pPr>
            <w:r>
              <w:t>John Willis</w:t>
            </w:r>
          </w:p>
        </w:tc>
        <w:tc>
          <w:tcPr>
            <w:tcW w:w="1495" w:type="dxa"/>
          </w:tcPr>
          <w:p w14:paraId="2149E32F" w14:textId="4AC73992" w:rsidR="007C3CFD" w:rsidRDefault="00BD377E" w:rsidP="00AF5A51">
            <w:pPr>
              <w:keepNext/>
              <w:keepLines/>
              <w:jc w:val="center"/>
            </w:pPr>
            <w:r>
              <w:t>ELC</w:t>
            </w:r>
          </w:p>
        </w:tc>
      </w:tr>
      <w:tr w:rsidR="007C3CFD" w:rsidRPr="00753336" w14:paraId="2149E336" w14:textId="77777777" w:rsidTr="00DA6132">
        <w:tc>
          <w:tcPr>
            <w:tcW w:w="990" w:type="dxa"/>
          </w:tcPr>
          <w:p w14:paraId="2149E331" w14:textId="77777777" w:rsidR="007C3CFD" w:rsidRDefault="007C3CFD" w:rsidP="00AF5A51">
            <w:pPr>
              <w:keepNext/>
              <w:keepLines/>
              <w:jc w:val="center"/>
            </w:pPr>
          </w:p>
        </w:tc>
        <w:tc>
          <w:tcPr>
            <w:tcW w:w="1456" w:type="dxa"/>
          </w:tcPr>
          <w:p w14:paraId="2149E332" w14:textId="77777777" w:rsidR="007C3CFD" w:rsidRDefault="007C3CFD" w:rsidP="00AF5A51">
            <w:pPr>
              <w:keepNext/>
              <w:keepLines/>
              <w:jc w:val="center"/>
            </w:pPr>
          </w:p>
        </w:tc>
        <w:tc>
          <w:tcPr>
            <w:tcW w:w="3369" w:type="dxa"/>
          </w:tcPr>
          <w:p w14:paraId="2149E333" w14:textId="77777777" w:rsidR="007C3CFD" w:rsidRDefault="007C3CFD" w:rsidP="00675200">
            <w:pPr>
              <w:keepNext/>
              <w:keepLines/>
            </w:pPr>
          </w:p>
        </w:tc>
        <w:tc>
          <w:tcPr>
            <w:tcW w:w="1708" w:type="dxa"/>
          </w:tcPr>
          <w:p w14:paraId="2149E334" w14:textId="77777777" w:rsidR="007C3CFD" w:rsidRDefault="007C3CFD" w:rsidP="00AF5A51">
            <w:pPr>
              <w:keepNext/>
              <w:keepLines/>
              <w:jc w:val="center"/>
            </w:pPr>
          </w:p>
        </w:tc>
        <w:tc>
          <w:tcPr>
            <w:tcW w:w="1495" w:type="dxa"/>
          </w:tcPr>
          <w:p w14:paraId="2149E335" w14:textId="77777777" w:rsidR="007C3CFD" w:rsidRDefault="007C3CFD" w:rsidP="00AF5A51">
            <w:pPr>
              <w:keepNext/>
              <w:keepLines/>
              <w:jc w:val="center"/>
            </w:pPr>
          </w:p>
        </w:tc>
      </w:tr>
    </w:tbl>
    <w:p w14:paraId="2149E337" w14:textId="77777777" w:rsidR="007C3CFD" w:rsidRDefault="007C3CFD">
      <w:bookmarkStart w:id="214" w:name="_Toc305747576"/>
      <w:bookmarkStart w:id="215" w:name="_Toc305747577"/>
      <w:bookmarkStart w:id="216" w:name="_Toc305747578"/>
      <w:bookmarkStart w:id="217" w:name="_Toc305747579"/>
      <w:bookmarkStart w:id="218" w:name="_Toc305747580"/>
      <w:bookmarkStart w:id="219" w:name="_Toc305747581"/>
      <w:bookmarkStart w:id="220" w:name="_Toc305747582"/>
      <w:bookmarkStart w:id="221" w:name="_Toc305747583"/>
      <w:bookmarkStart w:id="222" w:name="_Toc305747584"/>
      <w:bookmarkStart w:id="223" w:name="_Toc305747585"/>
      <w:bookmarkStart w:id="224" w:name="_Toc305747586"/>
      <w:bookmarkStart w:id="225" w:name="_Toc305764270"/>
      <w:bookmarkEnd w:id="214"/>
      <w:bookmarkEnd w:id="215"/>
      <w:bookmarkEnd w:id="216"/>
      <w:bookmarkEnd w:id="217"/>
      <w:bookmarkEnd w:id="218"/>
      <w:bookmarkEnd w:id="219"/>
      <w:bookmarkEnd w:id="220"/>
      <w:bookmarkEnd w:id="221"/>
      <w:bookmarkEnd w:id="222"/>
      <w:bookmarkEnd w:id="223"/>
      <w:bookmarkEnd w:id="224"/>
      <w:bookmarkEnd w:id="225"/>
    </w:p>
    <w:p w14:paraId="2149E338" w14:textId="77777777" w:rsidR="007C3CFD" w:rsidRDefault="007C3CFD"/>
    <w:p w14:paraId="2149E339" w14:textId="77777777" w:rsidR="007C3CFD" w:rsidRDefault="007C3CFD" w:rsidP="003D1893">
      <w:pPr>
        <w:pStyle w:val="AppendixHeading"/>
        <w:pBdr>
          <w:bottom w:val="single" w:sz="12" w:space="1" w:color="auto"/>
        </w:pBdr>
        <w:tabs>
          <w:tab w:val="clear" w:pos="1440"/>
        </w:tabs>
        <w:ind w:left="1440" w:hanging="1440"/>
        <w:jc w:val="left"/>
        <w:outlineLvl w:val="0"/>
      </w:pPr>
      <w:bookmarkStart w:id="226" w:name="_Toc289954607"/>
      <w:bookmarkStart w:id="227" w:name="_Toc319425049"/>
      <w:r>
        <w:t>Maximum Allowable Size of Containers and Portable Tanks</w:t>
      </w:r>
      <w:bookmarkEnd w:id="226"/>
      <w:bookmarkEnd w:id="227"/>
    </w:p>
    <w:p w14:paraId="2149E33A" w14:textId="77777777" w:rsidR="007C3CFD" w:rsidRDefault="007C3CFD" w:rsidP="003D1893">
      <w:pPr>
        <w:pStyle w:val="AppendixHeading"/>
        <w:numPr>
          <w:ilvl w:val="0"/>
          <w:numId w:val="0"/>
        </w:numPr>
        <w:pBdr>
          <w:bottom w:val="single" w:sz="12" w:space="1" w:color="auto"/>
        </w:pBdr>
        <w:ind w:left="1440" w:hanging="1440"/>
      </w:pPr>
    </w:p>
    <w:tbl>
      <w:tblPr>
        <w:tblW w:w="9189" w:type="dxa"/>
        <w:tblInd w:w="93" w:type="dxa"/>
        <w:tblLook w:val="0000" w:firstRow="0" w:lastRow="0" w:firstColumn="0" w:lastColumn="0" w:noHBand="0" w:noVBand="0"/>
      </w:tblPr>
      <w:tblGrid>
        <w:gridCol w:w="2355"/>
        <w:gridCol w:w="1440"/>
        <w:gridCol w:w="1307"/>
        <w:gridCol w:w="1307"/>
        <w:gridCol w:w="1390"/>
        <w:gridCol w:w="1390"/>
      </w:tblGrid>
      <w:tr w:rsidR="007C3CFD" w:rsidRPr="006035A6" w14:paraId="2149E33E" w14:textId="77777777" w:rsidTr="006A5C8B">
        <w:trPr>
          <w:trHeight w:val="825"/>
        </w:trPr>
        <w:tc>
          <w:tcPr>
            <w:tcW w:w="2355" w:type="dxa"/>
            <w:tcBorders>
              <w:top w:val="single" w:sz="4" w:space="0" w:color="auto"/>
              <w:left w:val="single" w:sz="4" w:space="0" w:color="auto"/>
              <w:bottom w:val="single" w:sz="4" w:space="0" w:color="auto"/>
              <w:right w:val="single" w:sz="4" w:space="0" w:color="auto"/>
            </w:tcBorders>
            <w:noWrap/>
            <w:vAlign w:val="bottom"/>
          </w:tcPr>
          <w:p w14:paraId="2149E33B" w14:textId="77777777" w:rsidR="007C3CFD" w:rsidRPr="006035A6" w:rsidRDefault="007C3CFD" w:rsidP="006A5C8B">
            <w:pPr>
              <w:jc w:val="center"/>
              <w:rPr>
                <w:rFonts w:ascii="Arial" w:hAnsi="Arial" w:cs="Arial"/>
                <w:b/>
                <w:bCs/>
              </w:rPr>
            </w:pPr>
            <w:r w:rsidRPr="006035A6">
              <w:rPr>
                <w:rFonts w:ascii="Arial" w:hAnsi="Arial" w:cs="Arial"/>
                <w:b/>
                <w:bCs/>
              </w:rPr>
              <w:t>Container Type</w:t>
            </w:r>
          </w:p>
        </w:tc>
        <w:tc>
          <w:tcPr>
            <w:tcW w:w="4054" w:type="dxa"/>
            <w:gridSpan w:val="3"/>
            <w:tcBorders>
              <w:top w:val="single" w:sz="4" w:space="0" w:color="auto"/>
              <w:left w:val="nil"/>
              <w:bottom w:val="single" w:sz="4" w:space="0" w:color="auto"/>
              <w:right w:val="single" w:sz="4" w:space="0" w:color="000000"/>
            </w:tcBorders>
            <w:noWrap/>
            <w:vAlign w:val="bottom"/>
          </w:tcPr>
          <w:p w14:paraId="2149E33C" w14:textId="77777777" w:rsidR="007C3CFD" w:rsidRPr="006035A6" w:rsidRDefault="007C3CFD" w:rsidP="006A5C8B">
            <w:pPr>
              <w:jc w:val="center"/>
              <w:rPr>
                <w:rFonts w:ascii="Arial" w:hAnsi="Arial" w:cs="Arial"/>
                <w:b/>
                <w:bCs/>
              </w:rPr>
            </w:pPr>
            <w:r w:rsidRPr="006035A6">
              <w:rPr>
                <w:rFonts w:ascii="Arial" w:hAnsi="Arial" w:cs="Arial"/>
                <w:b/>
                <w:bCs/>
              </w:rPr>
              <w:t>Flammable Liquids</w:t>
            </w:r>
          </w:p>
        </w:tc>
        <w:tc>
          <w:tcPr>
            <w:tcW w:w="2780" w:type="dxa"/>
            <w:gridSpan w:val="2"/>
            <w:tcBorders>
              <w:top w:val="single" w:sz="4" w:space="0" w:color="auto"/>
              <w:left w:val="nil"/>
              <w:bottom w:val="single" w:sz="4" w:space="0" w:color="auto"/>
              <w:right w:val="single" w:sz="4" w:space="0" w:color="000000"/>
            </w:tcBorders>
            <w:noWrap/>
            <w:vAlign w:val="bottom"/>
          </w:tcPr>
          <w:p w14:paraId="2149E33D" w14:textId="77777777" w:rsidR="007C3CFD" w:rsidRPr="006035A6" w:rsidRDefault="007C3CFD" w:rsidP="006A5C8B">
            <w:pPr>
              <w:jc w:val="center"/>
              <w:rPr>
                <w:rFonts w:ascii="Arial" w:hAnsi="Arial" w:cs="Arial"/>
                <w:b/>
                <w:bCs/>
              </w:rPr>
            </w:pPr>
            <w:r w:rsidRPr="006035A6">
              <w:rPr>
                <w:rFonts w:ascii="Arial" w:hAnsi="Arial" w:cs="Arial"/>
                <w:b/>
                <w:bCs/>
              </w:rPr>
              <w:t>Combustible Liquids</w:t>
            </w:r>
          </w:p>
        </w:tc>
      </w:tr>
      <w:tr w:rsidR="007C3CFD" w:rsidRPr="006035A6" w14:paraId="2149E345" w14:textId="77777777" w:rsidTr="006A5C8B">
        <w:trPr>
          <w:trHeight w:val="360"/>
        </w:trPr>
        <w:tc>
          <w:tcPr>
            <w:tcW w:w="2355" w:type="dxa"/>
            <w:tcBorders>
              <w:top w:val="nil"/>
              <w:left w:val="single" w:sz="4" w:space="0" w:color="auto"/>
              <w:bottom w:val="single" w:sz="4" w:space="0" w:color="auto"/>
              <w:right w:val="single" w:sz="4" w:space="0" w:color="auto"/>
            </w:tcBorders>
            <w:noWrap/>
            <w:vAlign w:val="bottom"/>
          </w:tcPr>
          <w:p w14:paraId="2149E33F" w14:textId="77777777" w:rsidR="007C3CFD" w:rsidRPr="006035A6" w:rsidRDefault="007C3CFD" w:rsidP="006A5C8B">
            <w:pPr>
              <w:jc w:val="center"/>
              <w:rPr>
                <w:rFonts w:ascii="Arial" w:hAnsi="Arial" w:cs="Arial"/>
                <w:b/>
                <w:bCs/>
              </w:rPr>
            </w:pPr>
            <w:r w:rsidRPr="006035A6">
              <w:rPr>
                <w:rFonts w:ascii="Arial" w:hAnsi="Arial" w:cs="Arial"/>
                <w:b/>
                <w:bCs/>
              </w:rPr>
              <w:t> </w:t>
            </w:r>
          </w:p>
        </w:tc>
        <w:tc>
          <w:tcPr>
            <w:tcW w:w="1440" w:type="dxa"/>
            <w:tcBorders>
              <w:top w:val="nil"/>
              <w:left w:val="nil"/>
              <w:bottom w:val="single" w:sz="4" w:space="0" w:color="auto"/>
              <w:right w:val="single" w:sz="4" w:space="0" w:color="auto"/>
            </w:tcBorders>
            <w:noWrap/>
            <w:vAlign w:val="bottom"/>
          </w:tcPr>
          <w:p w14:paraId="2149E340" w14:textId="77777777" w:rsidR="007C3CFD" w:rsidRPr="006035A6" w:rsidRDefault="007C3CFD" w:rsidP="006A5C8B">
            <w:pPr>
              <w:jc w:val="center"/>
              <w:rPr>
                <w:rFonts w:ascii="Arial" w:hAnsi="Arial" w:cs="Arial"/>
                <w:b/>
                <w:bCs/>
              </w:rPr>
            </w:pPr>
            <w:r w:rsidRPr="006035A6">
              <w:rPr>
                <w:rFonts w:ascii="Arial" w:hAnsi="Arial" w:cs="Arial"/>
                <w:b/>
                <w:bCs/>
              </w:rPr>
              <w:t>Class 1A</w:t>
            </w:r>
          </w:p>
        </w:tc>
        <w:tc>
          <w:tcPr>
            <w:tcW w:w="1307" w:type="dxa"/>
            <w:tcBorders>
              <w:top w:val="nil"/>
              <w:left w:val="nil"/>
              <w:bottom w:val="single" w:sz="4" w:space="0" w:color="auto"/>
              <w:right w:val="single" w:sz="4" w:space="0" w:color="auto"/>
            </w:tcBorders>
            <w:noWrap/>
            <w:vAlign w:val="bottom"/>
          </w:tcPr>
          <w:p w14:paraId="2149E341" w14:textId="77777777" w:rsidR="007C3CFD" w:rsidRPr="006035A6" w:rsidRDefault="007C3CFD" w:rsidP="006A5C8B">
            <w:pPr>
              <w:jc w:val="center"/>
              <w:rPr>
                <w:rFonts w:ascii="Arial" w:hAnsi="Arial" w:cs="Arial"/>
                <w:b/>
                <w:bCs/>
              </w:rPr>
            </w:pPr>
            <w:r w:rsidRPr="006035A6">
              <w:rPr>
                <w:rFonts w:ascii="Arial" w:hAnsi="Arial" w:cs="Arial"/>
                <w:b/>
                <w:bCs/>
              </w:rPr>
              <w:t>Class 1B</w:t>
            </w:r>
          </w:p>
        </w:tc>
        <w:tc>
          <w:tcPr>
            <w:tcW w:w="1307" w:type="dxa"/>
            <w:tcBorders>
              <w:top w:val="nil"/>
              <w:left w:val="nil"/>
              <w:bottom w:val="single" w:sz="4" w:space="0" w:color="auto"/>
              <w:right w:val="single" w:sz="4" w:space="0" w:color="auto"/>
            </w:tcBorders>
            <w:noWrap/>
            <w:vAlign w:val="bottom"/>
          </w:tcPr>
          <w:p w14:paraId="2149E342" w14:textId="77777777" w:rsidR="007C3CFD" w:rsidRPr="006035A6" w:rsidRDefault="007C3CFD" w:rsidP="006A5C8B">
            <w:pPr>
              <w:jc w:val="center"/>
              <w:rPr>
                <w:rFonts w:ascii="Arial" w:hAnsi="Arial" w:cs="Arial"/>
                <w:b/>
                <w:bCs/>
              </w:rPr>
            </w:pPr>
            <w:r w:rsidRPr="006035A6">
              <w:rPr>
                <w:rFonts w:ascii="Arial" w:hAnsi="Arial" w:cs="Arial"/>
                <w:b/>
                <w:bCs/>
              </w:rPr>
              <w:t>Class 1C</w:t>
            </w:r>
          </w:p>
        </w:tc>
        <w:tc>
          <w:tcPr>
            <w:tcW w:w="1390" w:type="dxa"/>
            <w:tcBorders>
              <w:top w:val="nil"/>
              <w:left w:val="nil"/>
              <w:bottom w:val="single" w:sz="4" w:space="0" w:color="auto"/>
              <w:right w:val="single" w:sz="4" w:space="0" w:color="auto"/>
            </w:tcBorders>
            <w:noWrap/>
            <w:vAlign w:val="bottom"/>
          </w:tcPr>
          <w:p w14:paraId="2149E343" w14:textId="77777777" w:rsidR="007C3CFD" w:rsidRPr="006035A6" w:rsidRDefault="007C3CFD" w:rsidP="006A5C8B">
            <w:pPr>
              <w:jc w:val="center"/>
              <w:rPr>
                <w:rFonts w:ascii="Arial" w:hAnsi="Arial" w:cs="Arial"/>
                <w:b/>
                <w:bCs/>
              </w:rPr>
            </w:pPr>
            <w:r w:rsidRPr="006035A6">
              <w:rPr>
                <w:rFonts w:ascii="Arial" w:hAnsi="Arial" w:cs="Arial"/>
                <w:b/>
                <w:bCs/>
              </w:rPr>
              <w:t>Class II</w:t>
            </w:r>
          </w:p>
        </w:tc>
        <w:tc>
          <w:tcPr>
            <w:tcW w:w="1390" w:type="dxa"/>
            <w:tcBorders>
              <w:top w:val="nil"/>
              <w:left w:val="nil"/>
              <w:bottom w:val="single" w:sz="4" w:space="0" w:color="auto"/>
              <w:right w:val="single" w:sz="4" w:space="0" w:color="auto"/>
            </w:tcBorders>
            <w:noWrap/>
            <w:vAlign w:val="bottom"/>
          </w:tcPr>
          <w:p w14:paraId="2149E344" w14:textId="77777777" w:rsidR="007C3CFD" w:rsidRPr="006035A6" w:rsidRDefault="007C3CFD" w:rsidP="006A5C8B">
            <w:pPr>
              <w:jc w:val="center"/>
              <w:rPr>
                <w:rFonts w:ascii="Arial" w:hAnsi="Arial" w:cs="Arial"/>
                <w:b/>
                <w:bCs/>
              </w:rPr>
            </w:pPr>
            <w:r w:rsidRPr="006035A6">
              <w:rPr>
                <w:rFonts w:ascii="Arial" w:hAnsi="Arial" w:cs="Arial"/>
                <w:b/>
                <w:bCs/>
              </w:rPr>
              <w:t>Class III</w:t>
            </w:r>
          </w:p>
        </w:tc>
      </w:tr>
      <w:tr w:rsidR="007C3CFD" w:rsidRPr="006035A6" w14:paraId="2149E34C" w14:textId="77777777" w:rsidTr="006A5C8B">
        <w:trPr>
          <w:trHeight w:val="360"/>
        </w:trPr>
        <w:tc>
          <w:tcPr>
            <w:tcW w:w="2355" w:type="dxa"/>
            <w:tcBorders>
              <w:top w:val="nil"/>
              <w:left w:val="single" w:sz="4" w:space="0" w:color="auto"/>
              <w:bottom w:val="single" w:sz="4" w:space="0" w:color="auto"/>
              <w:right w:val="single" w:sz="4" w:space="0" w:color="auto"/>
            </w:tcBorders>
            <w:noWrap/>
            <w:vAlign w:val="bottom"/>
          </w:tcPr>
          <w:p w14:paraId="2149E346" w14:textId="77777777" w:rsidR="007C3CFD" w:rsidRPr="006035A6" w:rsidRDefault="007C3CFD" w:rsidP="006A5C8B">
            <w:pPr>
              <w:rPr>
                <w:rFonts w:ascii="Arial" w:hAnsi="Arial" w:cs="Arial"/>
              </w:rPr>
            </w:pPr>
            <w:r w:rsidRPr="006035A6">
              <w:rPr>
                <w:rFonts w:ascii="Arial" w:hAnsi="Arial" w:cs="Arial"/>
              </w:rPr>
              <w:t>Glass or approved plastic</w:t>
            </w:r>
          </w:p>
        </w:tc>
        <w:tc>
          <w:tcPr>
            <w:tcW w:w="1440" w:type="dxa"/>
            <w:tcBorders>
              <w:top w:val="nil"/>
              <w:left w:val="nil"/>
              <w:bottom w:val="single" w:sz="4" w:space="0" w:color="auto"/>
              <w:right w:val="single" w:sz="4" w:space="0" w:color="auto"/>
            </w:tcBorders>
            <w:noWrap/>
            <w:vAlign w:val="bottom"/>
          </w:tcPr>
          <w:p w14:paraId="2149E347" w14:textId="77777777" w:rsidR="007C3CFD" w:rsidRPr="006035A6" w:rsidRDefault="007C3CFD" w:rsidP="006A5C8B">
            <w:pPr>
              <w:jc w:val="center"/>
              <w:rPr>
                <w:rFonts w:ascii="Arial" w:hAnsi="Arial" w:cs="Arial"/>
              </w:rPr>
            </w:pPr>
            <w:r w:rsidRPr="006035A6">
              <w:rPr>
                <w:rFonts w:ascii="Arial" w:hAnsi="Arial" w:cs="Arial"/>
              </w:rPr>
              <w:t>1 pint (</w:t>
            </w:r>
            <w:r>
              <w:rPr>
                <w:rFonts w:ascii="Arial" w:hAnsi="Arial" w:cs="Arial"/>
              </w:rPr>
              <w:t>0.475 liters)</w:t>
            </w:r>
          </w:p>
        </w:tc>
        <w:tc>
          <w:tcPr>
            <w:tcW w:w="1307" w:type="dxa"/>
            <w:tcBorders>
              <w:top w:val="nil"/>
              <w:left w:val="nil"/>
              <w:bottom w:val="single" w:sz="4" w:space="0" w:color="auto"/>
              <w:right w:val="single" w:sz="4" w:space="0" w:color="auto"/>
            </w:tcBorders>
            <w:noWrap/>
            <w:vAlign w:val="bottom"/>
          </w:tcPr>
          <w:p w14:paraId="2149E348" w14:textId="77777777" w:rsidR="007C3CFD" w:rsidRPr="006035A6" w:rsidRDefault="007C3CFD" w:rsidP="006A5C8B">
            <w:pPr>
              <w:jc w:val="center"/>
              <w:rPr>
                <w:rFonts w:ascii="Arial" w:hAnsi="Arial" w:cs="Arial"/>
              </w:rPr>
            </w:pPr>
            <w:r w:rsidRPr="006035A6">
              <w:rPr>
                <w:rFonts w:ascii="Arial" w:hAnsi="Arial" w:cs="Arial"/>
              </w:rPr>
              <w:t>1 quart</w:t>
            </w:r>
            <w:r>
              <w:rPr>
                <w:rFonts w:ascii="Arial" w:hAnsi="Arial" w:cs="Arial"/>
              </w:rPr>
              <w:t xml:space="preserve"> (0.95 liters)</w:t>
            </w:r>
          </w:p>
        </w:tc>
        <w:tc>
          <w:tcPr>
            <w:tcW w:w="1307" w:type="dxa"/>
            <w:tcBorders>
              <w:top w:val="nil"/>
              <w:left w:val="nil"/>
              <w:bottom w:val="single" w:sz="4" w:space="0" w:color="auto"/>
              <w:right w:val="single" w:sz="4" w:space="0" w:color="auto"/>
            </w:tcBorders>
            <w:noWrap/>
            <w:vAlign w:val="bottom"/>
          </w:tcPr>
          <w:p w14:paraId="2149E349" w14:textId="77777777" w:rsidR="007C3CFD" w:rsidRPr="006035A6" w:rsidRDefault="007C3CFD" w:rsidP="006A5C8B">
            <w:pPr>
              <w:jc w:val="center"/>
              <w:rPr>
                <w:rFonts w:ascii="Arial" w:hAnsi="Arial" w:cs="Arial"/>
              </w:rPr>
            </w:pPr>
            <w:r w:rsidRPr="006035A6">
              <w:rPr>
                <w:rFonts w:ascii="Arial" w:hAnsi="Arial" w:cs="Arial"/>
              </w:rPr>
              <w:t>1 gallon (3.8 liters)</w:t>
            </w:r>
          </w:p>
        </w:tc>
        <w:tc>
          <w:tcPr>
            <w:tcW w:w="1390" w:type="dxa"/>
            <w:tcBorders>
              <w:top w:val="nil"/>
              <w:left w:val="nil"/>
              <w:bottom w:val="single" w:sz="4" w:space="0" w:color="auto"/>
              <w:right w:val="single" w:sz="4" w:space="0" w:color="auto"/>
            </w:tcBorders>
            <w:noWrap/>
            <w:vAlign w:val="bottom"/>
          </w:tcPr>
          <w:p w14:paraId="2149E34A" w14:textId="77777777" w:rsidR="007C3CFD" w:rsidRPr="006035A6" w:rsidRDefault="007C3CFD" w:rsidP="006A5C8B">
            <w:pPr>
              <w:jc w:val="center"/>
              <w:rPr>
                <w:rFonts w:ascii="Arial" w:hAnsi="Arial" w:cs="Arial"/>
              </w:rPr>
            </w:pPr>
            <w:r w:rsidRPr="006035A6">
              <w:rPr>
                <w:rFonts w:ascii="Arial" w:hAnsi="Arial" w:cs="Arial"/>
              </w:rPr>
              <w:t>1 gallon (3.8 liters)</w:t>
            </w:r>
          </w:p>
        </w:tc>
        <w:tc>
          <w:tcPr>
            <w:tcW w:w="1390" w:type="dxa"/>
            <w:tcBorders>
              <w:top w:val="nil"/>
              <w:left w:val="nil"/>
              <w:bottom w:val="single" w:sz="4" w:space="0" w:color="auto"/>
              <w:right w:val="single" w:sz="4" w:space="0" w:color="auto"/>
            </w:tcBorders>
            <w:noWrap/>
            <w:vAlign w:val="bottom"/>
          </w:tcPr>
          <w:p w14:paraId="2149E34B" w14:textId="77777777" w:rsidR="007C3CFD" w:rsidRPr="006035A6" w:rsidRDefault="007C3CFD" w:rsidP="006A5C8B">
            <w:pPr>
              <w:jc w:val="center"/>
              <w:rPr>
                <w:rFonts w:ascii="Arial" w:hAnsi="Arial" w:cs="Arial"/>
              </w:rPr>
            </w:pPr>
            <w:r w:rsidRPr="006035A6">
              <w:rPr>
                <w:rFonts w:ascii="Arial" w:hAnsi="Arial" w:cs="Arial"/>
              </w:rPr>
              <w:t>1 gallon (3.8 liters)</w:t>
            </w:r>
          </w:p>
        </w:tc>
      </w:tr>
      <w:tr w:rsidR="007C3CFD" w:rsidRPr="006035A6" w14:paraId="2149E353" w14:textId="77777777" w:rsidTr="006A5C8B">
        <w:trPr>
          <w:trHeight w:val="360"/>
        </w:trPr>
        <w:tc>
          <w:tcPr>
            <w:tcW w:w="2355" w:type="dxa"/>
            <w:tcBorders>
              <w:top w:val="nil"/>
              <w:left w:val="single" w:sz="4" w:space="0" w:color="auto"/>
              <w:bottom w:val="single" w:sz="4" w:space="0" w:color="auto"/>
              <w:right w:val="single" w:sz="4" w:space="0" w:color="auto"/>
            </w:tcBorders>
            <w:noWrap/>
            <w:vAlign w:val="bottom"/>
          </w:tcPr>
          <w:p w14:paraId="2149E34D" w14:textId="77777777" w:rsidR="007C3CFD" w:rsidRPr="006035A6" w:rsidRDefault="007C3CFD" w:rsidP="006A5C8B">
            <w:pPr>
              <w:rPr>
                <w:rFonts w:ascii="Arial" w:hAnsi="Arial" w:cs="Arial"/>
              </w:rPr>
            </w:pPr>
            <w:r w:rsidRPr="006035A6">
              <w:rPr>
                <w:rFonts w:ascii="Arial" w:hAnsi="Arial" w:cs="Arial"/>
              </w:rPr>
              <w:t>Metal (other than UN drums)</w:t>
            </w:r>
          </w:p>
        </w:tc>
        <w:tc>
          <w:tcPr>
            <w:tcW w:w="1440" w:type="dxa"/>
            <w:tcBorders>
              <w:top w:val="nil"/>
              <w:left w:val="nil"/>
              <w:bottom w:val="single" w:sz="4" w:space="0" w:color="auto"/>
              <w:right w:val="single" w:sz="4" w:space="0" w:color="auto"/>
            </w:tcBorders>
            <w:noWrap/>
            <w:vAlign w:val="bottom"/>
          </w:tcPr>
          <w:p w14:paraId="2149E34E" w14:textId="77777777" w:rsidR="007C3CFD" w:rsidRPr="006035A6" w:rsidRDefault="007C3CFD" w:rsidP="006A5C8B">
            <w:pPr>
              <w:jc w:val="center"/>
              <w:rPr>
                <w:rFonts w:ascii="Arial" w:hAnsi="Arial" w:cs="Arial"/>
              </w:rPr>
            </w:pPr>
            <w:r w:rsidRPr="006035A6">
              <w:rPr>
                <w:rFonts w:ascii="Arial" w:hAnsi="Arial" w:cs="Arial"/>
              </w:rPr>
              <w:t>1 gallon (3.8 liters)</w:t>
            </w:r>
          </w:p>
        </w:tc>
        <w:tc>
          <w:tcPr>
            <w:tcW w:w="1307" w:type="dxa"/>
            <w:tcBorders>
              <w:top w:val="nil"/>
              <w:left w:val="nil"/>
              <w:bottom w:val="single" w:sz="4" w:space="0" w:color="auto"/>
              <w:right w:val="single" w:sz="4" w:space="0" w:color="auto"/>
            </w:tcBorders>
            <w:noWrap/>
            <w:vAlign w:val="bottom"/>
          </w:tcPr>
          <w:p w14:paraId="2149E34F" w14:textId="77777777" w:rsidR="007C3CFD" w:rsidRPr="006035A6" w:rsidRDefault="007C3CFD" w:rsidP="006A5C8B">
            <w:pPr>
              <w:jc w:val="center"/>
              <w:rPr>
                <w:rFonts w:ascii="Arial" w:hAnsi="Arial" w:cs="Arial"/>
              </w:rPr>
            </w:pPr>
            <w:r w:rsidRPr="006035A6">
              <w:rPr>
                <w:rFonts w:ascii="Arial" w:hAnsi="Arial" w:cs="Arial"/>
              </w:rPr>
              <w:t>5 gallons (19 liters)</w:t>
            </w:r>
          </w:p>
        </w:tc>
        <w:tc>
          <w:tcPr>
            <w:tcW w:w="1307" w:type="dxa"/>
            <w:tcBorders>
              <w:top w:val="nil"/>
              <w:left w:val="nil"/>
              <w:bottom w:val="single" w:sz="4" w:space="0" w:color="auto"/>
              <w:right w:val="single" w:sz="4" w:space="0" w:color="auto"/>
            </w:tcBorders>
            <w:noWrap/>
            <w:vAlign w:val="bottom"/>
          </w:tcPr>
          <w:p w14:paraId="2149E350" w14:textId="77777777" w:rsidR="007C3CFD" w:rsidRPr="006035A6" w:rsidRDefault="007C3CFD" w:rsidP="006A5C8B">
            <w:pPr>
              <w:jc w:val="center"/>
              <w:rPr>
                <w:rFonts w:ascii="Arial" w:hAnsi="Arial" w:cs="Arial"/>
              </w:rPr>
            </w:pPr>
            <w:r w:rsidRPr="006035A6">
              <w:rPr>
                <w:rFonts w:ascii="Arial" w:hAnsi="Arial" w:cs="Arial"/>
              </w:rPr>
              <w:t>5 gallons (19 liters)</w:t>
            </w:r>
          </w:p>
        </w:tc>
        <w:tc>
          <w:tcPr>
            <w:tcW w:w="1390" w:type="dxa"/>
            <w:tcBorders>
              <w:top w:val="nil"/>
              <w:left w:val="nil"/>
              <w:bottom w:val="single" w:sz="4" w:space="0" w:color="auto"/>
              <w:right w:val="single" w:sz="4" w:space="0" w:color="auto"/>
            </w:tcBorders>
            <w:noWrap/>
            <w:vAlign w:val="bottom"/>
          </w:tcPr>
          <w:p w14:paraId="2149E351" w14:textId="77777777" w:rsidR="007C3CFD" w:rsidRPr="006035A6" w:rsidRDefault="007C3CFD" w:rsidP="006A5C8B">
            <w:pPr>
              <w:jc w:val="center"/>
              <w:rPr>
                <w:rFonts w:ascii="Arial" w:hAnsi="Arial" w:cs="Arial"/>
              </w:rPr>
            </w:pPr>
            <w:r w:rsidRPr="006035A6">
              <w:rPr>
                <w:rFonts w:ascii="Arial" w:hAnsi="Arial" w:cs="Arial"/>
              </w:rPr>
              <w:t>5 gallons (19 liters)</w:t>
            </w:r>
          </w:p>
        </w:tc>
        <w:tc>
          <w:tcPr>
            <w:tcW w:w="1390" w:type="dxa"/>
            <w:tcBorders>
              <w:top w:val="nil"/>
              <w:left w:val="nil"/>
              <w:bottom w:val="single" w:sz="4" w:space="0" w:color="auto"/>
              <w:right w:val="single" w:sz="4" w:space="0" w:color="auto"/>
            </w:tcBorders>
            <w:noWrap/>
            <w:vAlign w:val="bottom"/>
          </w:tcPr>
          <w:p w14:paraId="2149E352" w14:textId="77777777" w:rsidR="007C3CFD" w:rsidRPr="006035A6" w:rsidRDefault="007C3CFD" w:rsidP="006A5C8B">
            <w:pPr>
              <w:jc w:val="center"/>
              <w:rPr>
                <w:rFonts w:ascii="Arial" w:hAnsi="Arial" w:cs="Arial"/>
              </w:rPr>
            </w:pPr>
            <w:r w:rsidRPr="006035A6">
              <w:rPr>
                <w:rFonts w:ascii="Arial" w:hAnsi="Arial" w:cs="Arial"/>
              </w:rPr>
              <w:t>5 gallons (19 liters)</w:t>
            </w:r>
          </w:p>
        </w:tc>
      </w:tr>
      <w:tr w:rsidR="007C3CFD" w:rsidRPr="006035A6" w14:paraId="2149E35A" w14:textId="77777777" w:rsidTr="006A5C8B">
        <w:trPr>
          <w:trHeight w:val="360"/>
        </w:trPr>
        <w:tc>
          <w:tcPr>
            <w:tcW w:w="2355" w:type="dxa"/>
            <w:tcBorders>
              <w:top w:val="nil"/>
              <w:left w:val="single" w:sz="4" w:space="0" w:color="auto"/>
              <w:bottom w:val="single" w:sz="4" w:space="0" w:color="auto"/>
              <w:right w:val="single" w:sz="4" w:space="0" w:color="auto"/>
            </w:tcBorders>
            <w:noWrap/>
            <w:vAlign w:val="bottom"/>
          </w:tcPr>
          <w:p w14:paraId="2149E354" w14:textId="77777777" w:rsidR="007C3CFD" w:rsidRPr="006035A6" w:rsidRDefault="007C3CFD" w:rsidP="006A5C8B">
            <w:pPr>
              <w:rPr>
                <w:rFonts w:ascii="Arial" w:hAnsi="Arial" w:cs="Arial"/>
              </w:rPr>
            </w:pPr>
            <w:r w:rsidRPr="006035A6">
              <w:rPr>
                <w:rFonts w:ascii="Arial" w:hAnsi="Arial" w:cs="Arial"/>
              </w:rPr>
              <w:t>Safety cans</w:t>
            </w:r>
          </w:p>
        </w:tc>
        <w:tc>
          <w:tcPr>
            <w:tcW w:w="1440" w:type="dxa"/>
            <w:tcBorders>
              <w:top w:val="nil"/>
              <w:left w:val="nil"/>
              <w:bottom w:val="single" w:sz="4" w:space="0" w:color="auto"/>
              <w:right w:val="single" w:sz="4" w:space="0" w:color="auto"/>
            </w:tcBorders>
            <w:noWrap/>
            <w:vAlign w:val="bottom"/>
          </w:tcPr>
          <w:p w14:paraId="2149E355" w14:textId="77777777" w:rsidR="007C3CFD" w:rsidRPr="006035A6" w:rsidRDefault="007C3CFD" w:rsidP="006A5C8B">
            <w:pPr>
              <w:jc w:val="center"/>
              <w:rPr>
                <w:rFonts w:ascii="Arial" w:hAnsi="Arial" w:cs="Arial"/>
                <w:lang w:val="fr-FR"/>
              </w:rPr>
            </w:pPr>
            <w:r w:rsidRPr="006035A6">
              <w:rPr>
                <w:rFonts w:ascii="Arial" w:hAnsi="Arial" w:cs="Arial"/>
                <w:lang w:val="fr-FR"/>
              </w:rPr>
              <w:t>2 gallons (7.6 liters)</w:t>
            </w:r>
          </w:p>
        </w:tc>
        <w:tc>
          <w:tcPr>
            <w:tcW w:w="1307" w:type="dxa"/>
            <w:tcBorders>
              <w:top w:val="nil"/>
              <w:left w:val="nil"/>
              <w:bottom w:val="single" w:sz="4" w:space="0" w:color="auto"/>
              <w:right w:val="single" w:sz="4" w:space="0" w:color="auto"/>
            </w:tcBorders>
            <w:noWrap/>
            <w:vAlign w:val="bottom"/>
          </w:tcPr>
          <w:p w14:paraId="2149E356" w14:textId="77777777" w:rsidR="007C3CFD" w:rsidRPr="006035A6" w:rsidRDefault="007C3CFD" w:rsidP="006A5C8B">
            <w:pPr>
              <w:jc w:val="center"/>
              <w:rPr>
                <w:rFonts w:ascii="Arial" w:hAnsi="Arial" w:cs="Arial"/>
                <w:lang w:val="fr-FR"/>
              </w:rPr>
            </w:pPr>
            <w:r w:rsidRPr="006035A6">
              <w:rPr>
                <w:rFonts w:ascii="Arial" w:hAnsi="Arial" w:cs="Arial"/>
                <w:lang w:val="fr-FR"/>
              </w:rPr>
              <w:t xml:space="preserve">5 gallons </w:t>
            </w:r>
            <w:r w:rsidRPr="006035A6">
              <w:rPr>
                <w:rFonts w:ascii="Arial" w:hAnsi="Arial" w:cs="Arial"/>
              </w:rPr>
              <w:t>(19 liters)</w:t>
            </w:r>
          </w:p>
        </w:tc>
        <w:tc>
          <w:tcPr>
            <w:tcW w:w="1307" w:type="dxa"/>
            <w:tcBorders>
              <w:top w:val="nil"/>
              <w:left w:val="nil"/>
              <w:bottom w:val="single" w:sz="4" w:space="0" w:color="auto"/>
              <w:right w:val="single" w:sz="4" w:space="0" w:color="auto"/>
            </w:tcBorders>
            <w:noWrap/>
            <w:vAlign w:val="bottom"/>
          </w:tcPr>
          <w:p w14:paraId="2149E357" w14:textId="77777777" w:rsidR="007C3CFD" w:rsidRPr="006035A6" w:rsidRDefault="007C3CFD" w:rsidP="006A5C8B">
            <w:pPr>
              <w:jc w:val="center"/>
              <w:rPr>
                <w:rFonts w:ascii="Arial" w:hAnsi="Arial" w:cs="Arial"/>
                <w:lang w:val="fr-FR"/>
              </w:rPr>
            </w:pPr>
            <w:r w:rsidRPr="006035A6">
              <w:rPr>
                <w:rFonts w:ascii="Arial" w:hAnsi="Arial" w:cs="Arial"/>
                <w:lang w:val="fr-FR"/>
              </w:rPr>
              <w:t xml:space="preserve">5 gallons </w:t>
            </w:r>
            <w:r w:rsidRPr="006035A6">
              <w:rPr>
                <w:rFonts w:ascii="Arial" w:hAnsi="Arial" w:cs="Arial"/>
              </w:rPr>
              <w:t>(19 liters)</w:t>
            </w:r>
          </w:p>
        </w:tc>
        <w:tc>
          <w:tcPr>
            <w:tcW w:w="1390" w:type="dxa"/>
            <w:tcBorders>
              <w:top w:val="nil"/>
              <w:left w:val="nil"/>
              <w:bottom w:val="single" w:sz="4" w:space="0" w:color="auto"/>
              <w:right w:val="single" w:sz="4" w:space="0" w:color="auto"/>
            </w:tcBorders>
            <w:noWrap/>
            <w:vAlign w:val="bottom"/>
          </w:tcPr>
          <w:p w14:paraId="2149E358" w14:textId="77777777" w:rsidR="007C3CFD" w:rsidRPr="006035A6" w:rsidRDefault="007C3CFD" w:rsidP="006A5C8B">
            <w:pPr>
              <w:jc w:val="center"/>
              <w:rPr>
                <w:rFonts w:ascii="Arial" w:hAnsi="Arial" w:cs="Arial"/>
                <w:lang w:val="fr-FR"/>
              </w:rPr>
            </w:pPr>
            <w:r w:rsidRPr="006035A6">
              <w:rPr>
                <w:rFonts w:ascii="Arial" w:hAnsi="Arial" w:cs="Arial"/>
                <w:lang w:val="fr-FR"/>
              </w:rPr>
              <w:t xml:space="preserve">5 gallons </w:t>
            </w:r>
            <w:r w:rsidRPr="006035A6">
              <w:rPr>
                <w:rFonts w:ascii="Arial" w:hAnsi="Arial" w:cs="Arial"/>
              </w:rPr>
              <w:t>(19 liters)</w:t>
            </w:r>
          </w:p>
        </w:tc>
        <w:tc>
          <w:tcPr>
            <w:tcW w:w="1390" w:type="dxa"/>
            <w:tcBorders>
              <w:top w:val="nil"/>
              <w:left w:val="nil"/>
              <w:bottom w:val="single" w:sz="4" w:space="0" w:color="auto"/>
              <w:right w:val="single" w:sz="4" w:space="0" w:color="auto"/>
            </w:tcBorders>
            <w:noWrap/>
            <w:vAlign w:val="bottom"/>
          </w:tcPr>
          <w:p w14:paraId="2149E359" w14:textId="77777777" w:rsidR="007C3CFD" w:rsidRPr="006035A6" w:rsidRDefault="007C3CFD" w:rsidP="006A5C8B">
            <w:pPr>
              <w:jc w:val="center"/>
              <w:rPr>
                <w:rFonts w:ascii="Arial" w:hAnsi="Arial" w:cs="Arial"/>
                <w:lang w:val="fr-FR"/>
              </w:rPr>
            </w:pPr>
            <w:r w:rsidRPr="006035A6">
              <w:rPr>
                <w:rFonts w:ascii="Arial" w:hAnsi="Arial" w:cs="Arial"/>
                <w:lang w:val="fr-FR"/>
              </w:rPr>
              <w:t xml:space="preserve">5 gallons </w:t>
            </w:r>
            <w:r w:rsidRPr="006035A6">
              <w:rPr>
                <w:rFonts w:ascii="Arial" w:hAnsi="Arial" w:cs="Arial"/>
              </w:rPr>
              <w:t>(19 liters)</w:t>
            </w:r>
          </w:p>
        </w:tc>
      </w:tr>
      <w:tr w:rsidR="007C3CFD" w:rsidRPr="006035A6" w14:paraId="2149E361" w14:textId="77777777" w:rsidTr="006A5C8B">
        <w:trPr>
          <w:trHeight w:val="360"/>
        </w:trPr>
        <w:tc>
          <w:tcPr>
            <w:tcW w:w="2355" w:type="dxa"/>
            <w:tcBorders>
              <w:top w:val="nil"/>
              <w:left w:val="single" w:sz="4" w:space="0" w:color="auto"/>
              <w:bottom w:val="single" w:sz="4" w:space="0" w:color="auto"/>
              <w:right w:val="single" w:sz="4" w:space="0" w:color="auto"/>
            </w:tcBorders>
            <w:noWrap/>
            <w:vAlign w:val="bottom"/>
          </w:tcPr>
          <w:p w14:paraId="2149E35B" w14:textId="77777777" w:rsidR="007C3CFD" w:rsidRPr="006035A6" w:rsidRDefault="007C3CFD" w:rsidP="006A5C8B">
            <w:pPr>
              <w:rPr>
                <w:rFonts w:ascii="Arial" w:hAnsi="Arial" w:cs="Arial"/>
                <w:lang w:val="fr-FR"/>
              </w:rPr>
            </w:pPr>
            <w:r w:rsidRPr="006035A6">
              <w:rPr>
                <w:rFonts w:ascii="Arial" w:hAnsi="Arial" w:cs="Arial"/>
                <w:lang w:val="fr-FR"/>
              </w:rPr>
              <w:t>Metal drums (UN)</w:t>
            </w:r>
          </w:p>
        </w:tc>
        <w:tc>
          <w:tcPr>
            <w:tcW w:w="1440" w:type="dxa"/>
            <w:tcBorders>
              <w:top w:val="nil"/>
              <w:left w:val="nil"/>
              <w:bottom w:val="single" w:sz="4" w:space="0" w:color="auto"/>
              <w:right w:val="single" w:sz="4" w:space="0" w:color="auto"/>
            </w:tcBorders>
            <w:noWrap/>
            <w:vAlign w:val="bottom"/>
          </w:tcPr>
          <w:p w14:paraId="2149E35C" w14:textId="77777777" w:rsidR="007C3CFD" w:rsidRPr="006035A6" w:rsidRDefault="007C3CFD" w:rsidP="006A5C8B">
            <w:pPr>
              <w:jc w:val="center"/>
              <w:rPr>
                <w:rFonts w:ascii="Arial" w:hAnsi="Arial" w:cs="Arial"/>
                <w:lang w:val="fr-FR"/>
              </w:rPr>
            </w:pPr>
            <w:r w:rsidRPr="006035A6">
              <w:rPr>
                <w:rFonts w:ascii="Arial" w:hAnsi="Arial" w:cs="Arial"/>
                <w:lang w:val="fr-FR"/>
              </w:rPr>
              <w:t>60 gallons (228 liters)</w:t>
            </w:r>
          </w:p>
        </w:tc>
        <w:tc>
          <w:tcPr>
            <w:tcW w:w="1307" w:type="dxa"/>
            <w:tcBorders>
              <w:top w:val="nil"/>
              <w:left w:val="nil"/>
              <w:bottom w:val="single" w:sz="4" w:space="0" w:color="auto"/>
              <w:right w:val="single" w:sz="4" w:space="0" w:color="auto"/>
            </w:tcBorders>
            <w:noWrap/>
            <w:vAlign w:val="bottom"/>
          </w:tcPr>
          <w:p w14:paraId="2149E35D" w14:textId="77777777" w:rsidR="007C3CFD" w:rsidRPr="006035A6" w:rsidRDefault="007C3CFD" w:rsidP="006A5C8B">
            <w:pPr>
              <w:jc w:val="center"/>
              <w:rPr>
                <w:rFonts w:ascii="Arial" w:hAnsi="Arial" w:cs="Arial"/>
                <w:lang w:val="fr-FR"/>
              </w:rPr>
            </w:pPr>
            <w:r w:rsidRPr="006035A6">
              <w:rPr>
                <w:rFonts w:ascii="Arial" w:hAnsi="Arial" w:cs="Arial"/>
                <w:lang w:val="fr-FR"/>
              </w:rPr>
              <w:t>60 gallons (228 liters)</w:t>
            </w:r>
          </w:p>
        </w:tc>
        <w:tc>
          <w:tcPr>
            <w:tcW w:w="1307" w:type="dxa"/>
            <w:tcBorders>
              <w:top w:val="nil"/>
              <w:left w:val="nil"/>
              <w:bottom w:val="single" w:sz="4" w:space="0" w:color="auto"/>
              <w:right w:val="single" w:sz="4" w:space="0" w:color="auto"/>
            </w:tcBorders>
            <w:noWrap/>
            <w:vAlign w:val="bottom"/>
          </w:tcPr>
          <w:p w14:paraId="2149E35E" w14:textId="77777777" w:rsidR="007C3CFD" w:rsidRPr="006035A6" w:rsidRDefault="007C3CFD" w:rsidP="006A5C8B">
            <w:pPr>
              <w:jc w:val="center"/>
              <w:rPr>
                <w:rFonts w:ascii="Arial" w:hAnsi="Arial" w:cs="Arial"/>
                <w:lang w:val="fr-FR"/>
              </w:rPr>
            </w:pPr>
            <w:r w:rsidRPr="006035A6">
              <w:rPr>
                <w:rFonts w:ascii="Arial" w:hAnsi="Arial" w:cs="Arial"/>
                <w:lang w:val="fr-FR"/>
              </w:rPr>
              <w:t>60 gallons (228 liters)</w:t>
            </w:r>
          </w:p>
        </w:tc>
        <w:tc>
          <w:tcPr>
            <w:tcW w:w="1390" w:type="dxa"/>
            <w:tcBorders>
              <w:top w:val="nil"/>
              <w:left w:val="nil"/>
              <w:bottom w:val="single" w:sz="4" w:space="0" w:color="auto"/>
              <w:right w:val="single" w:sz="4" w:space="0" w:color="auto"/>
            </w:tcBorders>
            <w:noWrap/>
            <w:vAlign w:val="bottom"/>
          </w:tcPr>
          <w:p w14:paraId="2149E35F" w14:textId="77777777" w:rsidR="007C3CFD" w:rsidRPr="006035A6" w:rsidRDefault="007C3CFD" w:rsidP="006A5C8B">
            <w:pPr>
              <w:jc w:val="center"/>
              <w:rPr>
                <w:rFonts w:ascii="Arial" w:hAnsi="Arial" w:cs="Arial"/>
                <w:lang w:val="fr-FR"/>
              </w:rPr>
            </w:pPr>
            <w:r w:rsidRPr="006035A6">
              <w:rPr>
                <w:rFonts w:ascii="Arial" w:hAnsi="Arial" w:cs="Arial"/>
                <w:lang w:val="fr-FR"/>
              </w:rPr>
              <w:t>60 gallons (228 liters)</w:t>
            </w:r>
          </w:p>
        </w:tc>
        <w:tc>
          <w:tcPr>
            <w:tcW w:w="1390" w:type="dxa"/>
            <w:tcBorders>
              <w:top w:val="nil"/>
              <w:left w:val="nil"/>
              <w:bottom w:val="single" w:sz="4" w:space="0" w:color="auto"/>
              <w:right w:val="single" w:sz="4" w:space="0" w:color="auto"/>
            </w:tcBorders>
            <w:noWrap/>
            <w:vAlign w:val="bottom"/>
          </w:tcPr>
          <w:p w14:paraId="2149E360" w14:textId="77777777" w:rsidR="007C3CFD" w:rsidRPr="006035A6" w:rsidRDefault="007C3CFD" w:rsidP="006A5C8B">
            <w:pPr>
              <w:jc w:val="center"/>
              <w:rPr>
                <w:rFonts w:ascii="Arial" w:hAnsi="Arial" w:cs="Arial"/>
                <w:lang w:val="fr-FR"/>
              </w:rPr>
            </w:pPr>
            <w:r w:rsidRPr="006035A6">
              <w:rPr>
                <w:rFonts w:ascii="Arial" w:hAnsi="Arial" w:cs="Arial"/>
                <w:lang w:val="fr-FR"/>
              </w:rPr>
              <w:t>60 gallons (228 liters)</w:t>
            </w:r>
          </w:p>
        </w:tc>
      </w:tr>
      <w:tr w:rsidR="007C3CFD" w:rsidRPr="006035A6" w14:paraId="2149E368" w14:textId="77777777" w:rsidTr="006A5C8B">
        <w:trPr>
          <w:trHeight w:val="360"/>
        </w:trPr>
        <w:tc>
          <w:tcPr>
            <w:tcW w:w="2355" w:type="dxa"/>
            <w:tcBorders>
              <w:top w:val="nil"/>
              <w:left w:val="single" w:sz="4" w:space="0" w:color="auto"/>
              <w:bottom w:val="single" w:sz="4" w:space="0" w:color="auto"/>
              <w:right w:val="single" w:sz="4" w:space="0" w:color="auto"/>
            </w:tcBorders>
            <w:noWrap/>
            <w:vAlign w:val="bottom"/>
          </w:tcPr>
          <w:p w14:paraId="2149E362" w14:textId="77777777" w:rsidR="007C3CFD" w:rsidRPr="006035A6" w:rsidRDefault="007C3CFD" w:rsidP="006A5C8B">
            <w:pPr>
              <w:rPr>
                <w:rFonts w:ascii="Arial" w:hAnsi="Arial" w:cs="Arial"/>
              </w:rPr>
            </w:pPr>
            <w:r w:rsidRPr="006035A6">
              <w:rPr>
                <w:rFonts w:ascii="Arial" w:hAnsi="Arial" w:cs="Arial"/>
                <w:lang w:val="fr-FR"/>
              </w:rPr>
              <w:t>Approved por</w:t>
            </w:r>
            <w:r w:rsidRPr="006035A6">
              <w:rPr>
                <w:rFonts w:ascii="Arial" w:hAnsi="Arial" w:cs="Arial"/>
              </w:rPr>
              <w:t>table tanks</w:t>
            </w:r>
          </w:p>
        </w:tc>
        <w:tc>
          <w:tcPr>
            <w:tcW w:w="1440" w:type="dxa"/>
            <w:tcBorders>
              <w:top w:val="nil"/>
              <w:left w:val="nil"/>
              <w:bottom w:val="single" w:sz="4" w:space="0" w:color="auto"/>
              <w:right w:val="single" w:sz="4" w:space="0" w:color="auto"/>
            </w:tcBorders>
            <w:noWrap/>
            <w:vAlign w:val="bottom"/>
          </w:tcPr>
          <w:p w14:paraId="2149E363" w14:textId="77777777" w:rsidR="007C3CFD" w:rsidRPr="006035A6" w:rsidRDefault="007C3CFD" w:rsidP="006A5C8B">
            <w:pPr>
              <w:jc w:val="center"/>
              <w:rPr>
                <w:rFonts w:ascii="Arial" w:hAnsi="Arial" w:cs="Arial"/>
              </w:rPr>
            </w:pPr>
            <w:r w:rsidRPr="006035A6">
              <w:rPr>
                <w:rFonts w:ascii="Arial" w:hAnsi="Arial" w:cs="Arial"/>
              </w:rPr>
              <w:t>660 gallons (2508 liters)</w:t>
            </w:r>
          </w:p>
        </w:tc>
        <w:tc>
          <w:tcPr>
            <w:tcW w:w="1307" w:type="dxa"/>
            <w:tcBorders>
              <w:top w:val="nil"/>
              <w:left w:val="nil"/>
              <w:bottom w:val="single" w:sz="4" w:space="0" w:color="auto"/>
              <w:right w:val="single" w:sz="4" w:space="0" w:color="auto"/>
            </w:tcBorders>
            <w:noWrap/>
            <w:vAlign w:val="bottom"/>
          </w:tcPr>
          <w:p w14:paraId="2149E364" w14:textId="77777777" w:rsidR="007C3CFD" w:rsidRPr="006035A6" w:rsidRDefault="007C3CFD" w:rsidP="006A5C8B">
            <w:pPr>
              <w:jc w:val="center"/>
              <w:rPr>
                <w:rFonts w:ascii="Arial" w:hAnsi="Arial" w:cs="Arial"/>
              </w:rPr>
            </w:pPr>
            <w:r w:rsidRPr="006035A6">
              <w:rPr>
                <w:rFonts w:ascii="Arial" w:hAnsi="Arial" w:cs="Arial"/>
              </w:rPr>
              <w:t>660 gallons (2508 liters)</w:t>
            </w:r>
          </w:p>
        </w:tc>
        <w:tc>
          <w:tcPr>
            <w:tcW w:w="1307" w:type="dxa"/>
            <w:tcBorders>
              <w:top w:val="nil"/>
              <w:left w:val="nil"/>
              <w:bottom w:val="single" w:sz="4" w:space="0" w:color="auto"/>
              <w:right w:val="single" w:sz="4" w:space="0" w:color="auto"/>
            </w:tcBorders>
            <w:noWrap/>
            <w:vAlign w:val="bottom"/>
          </w:tcPr>
          <w:p w14:paraId="2149E365" w14:textId="77777777" w:rsidR="007C3CFD" w:rsidRPr="006035A6" w:rsidRDefault="007C3CFD" w:rsidP="006A5C8B">
            <w:pPr>
              <w:jc w:val="center"/>
              <w:rPr>
                <w:rFonts w:ascii="Arial" w:hAnsi="Arial" w:cs="Arial"/>
              </w:rPr>
            </w:pPr>
            <w:r w:rsidRPr="006035A6">
              <w:rPr>
                <w:rFonts w:ascii="Arial" w:hAnsi="Arial" w:cs="Arial"/>
              </w:rPr>
              <w:t>660 gallons (2508 liters)</w:t>
            </w:r>
          </w:p>
        </w:tc>
        <w:tc>
          <w:tcPr>
            <w:tcW w:w="1390" w:type="dxa"/>
            <w:tcBorders>
              <w:top w:val="nil"/>
              <w:left w:val="nil"/>
              <w:bottom w:val="single" w:sz="4" w:space="0" w:color="auto"/>
              <w:right w:val="single" w:sz="4" w:space="0" w:color="auto"/>
            </w:tcBorders>
            <w:noWrap/>
            <w:vAlign w:val="bottom"/>
          </w:tcPr>
          <w:p w14:paraId="2149E366" w14:textId="77777777" w:rsidR="007C3CFD" w:rsidRPr="006035A6" w:rsidRDefault="007C3CFD" w:rsidP="006A5C8B">
            <w:pPr>
              <w:jc w:val="center"/>
              <w:rPr>
                <w:rFonts w:ascii="Arial" w:hAnsi="Arial" w:cs="Arial"/>
              </w:rPr>
            </w:pPr>
            <w:r w:rsidRPr="006035A6">
              <w:rPr>
                <w:rFonts w:ascii="Arial" w:hAnsi="Arial" w:cs="Arial"/>
              </w:rPr>
              <w:t xml:space="preserve">660 gallons (2508 liters) </w:t>
            </w:r>
          </w:p>
        </w:tc>
        <w:tc>
          <w:tcPr>
            <w:tcW w:w="1390" w:type="dxa"/>
            <w:tcBorders>
              <w:top w:val="nil"/>
              <w:left w:val="nil"/>
              <w:bottom w:val="single" w:sz="4" w:space="0" w:color="auto"/>
              <w:right w:val="single" w:sz="4" w:space="0" w:color="auto"/>
            </w:tcBorders>
            <w:noWrap/>
            <w:vAlign w:val="bottom"/>
          </w:tcPr>
          <w:p w14:paraId="2149E367" w14:textId="77777777" w:rsidR="007C3CFD" w:rsidRPr="006035A6" w:rsidRDefault="007C3CFD" w:rsidP="006A5C8B">
            <w:pPr>
              <w:jc w:val="center"/>
              <w:rPr>
                <w:rFonts w:ascii="Arial" w:hAnsi="Arial" w:cs="Arial"/>
              </w:rPr>
            </w:pPr>
            <w:r w:rsidRPr="006035A6">
              <w:rPr>
                <w:rFonts w:ascii="Arial" w:hAnsi="Arial" w:cs="Arial"/>
              </w:rPr>
              <w:t>660 gallons (2508 liters)</w:t>
            </w:r>
          </w:p>
        </w:tc>
      </w:tr>
    </w:tbl>
    <w:p w14:paraId="2149E369" w14:textId="77777777" w:rsidR="007C3CFD" w:rsidRPr="00422D85" w:rsidRDefault="007C3CFD" w:rsidP="003D1893">
      <w:pPr>
        <w:pStyle w:val="ReferenceText"/>
        <w:numPr>
          <w:ilvl w:val="0"/>
          <w:numId w:val="0"/>
        </w:numPr>
        <w:ind w:left="288" w:hanging="288"/>
        <w:rPr>
          <w:b/>
          <w:caps/>
        </w:rPr>
      </w:pPr>
    </w:p>
    <w:p w14:paraId="2149E36A" w14:textId="77777777" w:rsidR="007C3CFD" w:rsidRDefault="007C3CFD"/>
    <w:sectPr w:rsidR="007C3CFD" w:rsidSect="00DA434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E36E" w14:textId="77777777" w:rsidR="003F7C49" w:rsidRDefault="003F7C49">
      <w:r>
        <w:separator/>
      </w:r>
    </w:p>
  </w:endnote>
  <w:endnote w:type="continuationSeparator" w:id="0">
    <w:p w14:paraId="2149E36F" w14:textId="77777777" w:rsidR="003F7C49" w:rsidRDefault="003F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E37C" w14:textId="77777777" w:rsidR="003C3361" w:rsidRDefault="00B01CE7">
    <w:pPr>
      <w:pStyle w:val="Footer"/>
      <w:framePr w:wrap="around" w:vAnchor="text" w:hAnchor="margin" w:xAlign="center" w:y="1"/>
      <w:rPr>
        <w:rStyle w:val="PageNumber"/>
      </w:rPr>
    </w:pPr>
    <w:r>
      <w:rPr>
        <w:rStyle w:val="PageNumber"/>
      </w:rPr>
      <w:fldChar w:fldCharType="begin"/>
    </w:r>
    <w:r w:rsidR="003C3361">
      <w:rPr>
        <w:rStyle w:val="PageNumber"/>
      </w:rPr>
      <w:instrText xml:space="preserve">PAGE  </w:instrText>
    </w:r>
    <w:r>
      <w:rPr>
        <w:rStyle w:val="PageNumber"/>
      </w:rPr>
      <w:fldChar w:fldCharType="separate"/>
    </w:r>
    <w:r w:rsidR="003C3361">
      <w:rPr>
        <w:rStyle w:val="PageNumber"/>
        <w:noProof/>
      </w:rPr>
      <w:t>1</w:t>
    </w:r>
    <w:r>
      <w:rPr>
        <w:rStyle w:val="PageNumber"/>
      </w:rPr>
      <w:fldChar w:fldCharType="end"/>
    </w:r>
  </w:p>
  <w:p w14:paraId="2149E37D" w14:textId="77777777" w:rsidR="003C3361" w:rsidRDefault="003C3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3C3361" w:rsidRPr="007A7BB8" w14:paraId="2149E382" w14:textId="77777777" w:rsidTr="00AF5A51">
      <w:tc>
        <w:tcPr>
          <w:tcW w:w="727" w:type="dxa"/>
          <w:tcMar>
            <w:top w:w="14" w:type="dxa"/>
            <w:left w:w="115" w:type="dxa"/>
            <w:bottom w:w="14" w:type="dxa"/>
            <w:right w:w="115" w:type="dxa"/>
          </w:tcMar>
        </w:tcPr>
        <w:p w14:paraId="2149E37E" w14:textId="77777777" w:rsidR="003C3361" w:rsidRPr="007A7BB8" w:rsidRDefault="003C3361"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2149E37F" w14:textId="77777777" w:rsidR="003C3361" w:rsidRPr="007A7BB8" w:rsidRDefault="003C3361" w:rsidP="00112A3A">
          <w:pPr>
            <w:tabs>
              <w:tab w:val="center" w:pos="4320"/>
              <w:tab w:val="right" w:pos="8640"/>
            </w:tabs>
            <w:jc w:val="center"/>
            <w:rPr>
              <w:snapToGrid w:val="0"/>
            </w:rPr>
          </w:pPr>
          <w:r>
            <w:rPr>
              <w:snapToGrid w:val="0"/>
            </w:rPr>
            <w:t>03.01E</w:t>
          </w:r>
          <w:r w:rsidR="00112A3A">
            <w:rPr>
              <w:snapToGrid w:val="0"/>
            </w:rPr>
            <w:t xml:space="preserve"> - </w:t>
          </w:r>
          <w:r>
            <w:rPr>
              <w:snapToGrid w:val="0"/>
            </w:rPr>
            <w:t>Chemical Storage and Spill Control</w:t>
          </w:r>
        </w:p>
      </w:tc>
      <w:tc>
        <w:tcPr>
          <w:tcW w:w="3780" w:type="dxa"/>
          <w:tcMar>
            <w:top w:w="14" w:type="dxa"/>
            <w:left w:w="115" w:type="dxa"/>
            <w:bottom w:w="14" w:type="dxa"/>
            <w:right w:w="115" w:type="dxa"/>
          </w:tcMar>
        </w:tcPr>
        <w:p w14:paraId="2149E380" w14:textId="77777777" w:rsidR="003C3361" w:rsidRPr="007A7BB8" w:rsidRDefault="003C3361"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B01CE7" w:rsidRPr="007E64CA">
            <w:rPr>
              <w:rStyle w:val="PageNumber"/>
              <w:rFonts w:cs="Arial"/>
            </w:rPr>
            <w:fldChar w:fldCharType="begin"/>
          </w:r>
          <w:r w:rsidRPr="007E64CA">
            <w:rPr>
              <w:rStyle w:val="PageNumber"/>
              <w:rFonts w:cs="Arial"/>
            </w:rPr>
            <w:instrText xml:space="preserve"> PAGE </w:instrText>
          </w:r>
          <w:r w:rsidR="00B01CE7" w:rsidRPr="007E64CA">
            <w:rPr>
              <w:rStyle w:val="PageNumber"/>
              <w:rFonts w:cs="Arial"/>
            </w:rPr>
            <w:fldChar w:fldCharType="separate"/>
          </w:r>
          <w:r w:rsidR="002F46AB">
            <w:rPr>
              <w:rStyle w:val="PageNumber"/>
              <w:rFonts w:cs="Arial"/>
              <w:noProof/>
            </w:rPr>
            <w:t>1</w:t>
          </w:r>
          <w:r w:rsidR="00B01CE7" w:rsidRPr="007E64CA">
            <w:rPr>
              <w:rStyle w:val="PageNumber"/>
              <w:rFonts w:cs="Arial"/>
            </w:rPr>
            <w:fldChar w:fldCharType="end"/>
          </w:r>
          <w:r w:rsidRPr="007E64CA">
            <w:rPr>
              <w:rStyle w:val="PageNumber"/>
              <w:rFonts w:cs="Arial"/>
            </w:rPr>
            <w:t xml:space="preserve"> of </w:t>
          </w:r>
          <w:r w:rsidR="00B01CE7" w:rsidRPr="007E64CA">
            <w:rPr>
              <w:rStyle w:val="PageNumber"/>
              <w:rFonts w:cs="Arial"/>
            </w:rPr>
            <w:fldChar w:fldCharType="begin"/>
          </w:r>
          <w:r w:rsidRPr="007E64CA">
            <w:rPr>
              <w:rStyle w:val="PageNumber"/>
              <w:rFonts w:cs="Arial"/>
            </w:rPr>
            <w:instrText xml:space="preserve"> NUMPAGES </w:instrText>
          </w:r>
          <w:r w:rsidR="00B01CE7" w:rsidRPr="007E64CA">
            <w:rPr>
              <w:rStyle w:val="PageNumber"/>
              <w:rFonts w:cs="Arial"/>
            </w:rPr>
            <w:fldChar w:fldCharType="separate"/>
          </w:r>
          <w:r w:rsidR="002F46AB">
            <w:rPr>
              <w:rStyle w:val="PageNumber"/>
              <w:rFonts w:cs="Arial"/>
              <w:noProof/>
            </w:rPr>
            <w:t>8</w:t>
          </w:r>
          <w:r w:rsidR="00B01CE7" w:rsidRPr="007E64CA">
            <w:rPr>
              <w:rStyle w:val="PageNumber"/>
              <w:rFonts w:cs="Arial"/>
            </w:rPr>
            <w:fldChar w:fldCharType="end"/>
          </w:r>
        </w:p>
      </w:tc>
      <w:tc>
        <w:tcPr>
          <w:tcW w:w="872" w:type="dxa"/>
          <w:tcMar>
            <w:top w:w="14" w:type="dxa"/>
            <w:left w:w="115" w:type="dxa"/>
            <w:bottom w:w="14" w:type="dxa"/>
            <w:right w:w="115" w:type="dxa"/>
          </w:tcMar>
        </w:tcPr>
        <w:p w14:paraId="2149E381" w14:textId="208510F6" w:rsidR="003C3361" w:rsidRPr="007A7BB8" w:rsidRDefault="003C3361" w:rsidP="005C2B28">
          <w:pPr>
            <w:tabs>
              <w:tab w:val="center" w:pos="4320"/>
              <w:tab w:val="right" w:pos="8640"/>
            </w:tabs>
            <w:jc w:val="center"/>
            <w:rPr>
              <w:snapToGrid w:val="0"/>
            </w:rPr>
          </w:pPr>
          <w:r w:rsidRPr="007A7BB8">
            <w:rPr>
              <w:snapToGrid w:val="0"/>
            </w:rPr>
            <w:t xml:space="preserve">Rev </w:t>
          </w:r>
          <w:r w:rsidR="005C2B28">
            <w:rPr>
              <w:snapToGrid w:val="0"/>
            </w:rPr>
            <w:t>D</w:t>
          </w:r>
        </w:p>
      </w:tc>
    </w:tr>
  </w:tbl>
  <w:p w14:paraId="2149E383" w14:textId="77777777" w:rsidR="003C3361" w:rsidRDefault="003C3361">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3C3361" w:rsidRPr="007A7BB8" w14:paraId="2149E393" w14:textId="77777777" w:rsidTr="00AF5A51">
      <w:tc>
        <w:tcPr>
          <w:tcW w:w="727" w:type="dxa"/>
          <w:tcMar>
            <w:top w:w="14" w:type="dxa"/>
            <w:left w:w="115" w:type="dxa"/>
            <w:bottom w:w="14" w:type="dxa"/>
            <w:right w:w="115" w:type="dxa"/>
          </w:tcMar>
        </w:tcPr>
        <w:p w14:paraId="2149E38F" w14:textId="77777777" w:rsidR="003C3361" w:rsidRPr="007A7BB8" w:rsidRDefault="003C3361"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2149E390" w14:textId="77777777" w:rsidR="003C3361" w:rsidRDefault="003C3361">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2149E391" w14:textId="77777777" w:rsidR="003C3361" w:rsidRPr="007A7BB8" w:rsidRDefault="003C3361"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B01CE7" w:rsidRPr="007E64CA">
            <w:rPr>
              <w:rStyle w:val="PageNumber"/>
              <w:rFonts w:cs="Arial"/>
            </w:rPr>
            <w:fldChar w:fldCharType="begin"/>
          </w:r>
          <w:r w:rsidRPr="007E64CA">
            <w:rPr>
              <w:rStyle w:val="PageNumber"/>
              <w:rFonts w:cs="Arial"/>
            </w:rPr>
            <w:instrText xml:space="preserve"> PAGE </w:instrText>
          </w:r>
          <w:r w:rsidR="00B01CE7" w:rsidRPr="007E64CA">
            <w:rPr>
              <w:rStyle w:val="PageNumber"/>
              <w:rFonts w:cs="Arial"/>
            </w:rPr>
            <w:fldChar w:fldCharType="separate"/>
          </w:r>
          <w:r>
            <w:rPr>
              <w:rStyle w:val="PageNumber"/>
              <w:rFonts w:cs="Arial"/>
              <w:noProof/>
            </w:rPr>
            <w:t>1</w:t>
          </w:r>
          <w:r w:rsidR="00B01CE7" w:rsidRPr="007E64CA">
            <w:rPr>
              <w:rStyle w:val="PageNumber"/>
              <w:rFonts w:cs="Arial"/>
            </w:rPr>
            <w:fldChar w:fldCharType="end"/>
          </w:r>
          <w:r w:rsidRPr="007E64CA">
            <w:rPr>
              <w:rStyle w:val="PageNumber"/>
              <w:rFonts w:cs="Arial"/>
            </w:rPr>
            <w:t xml:space="preserve"> of </w:t>
          </w:r>
          <w:r w:rsidR="00B01CE7" w:rsidRPr="007E64CA">
            <w:rPr>
              <w:rStyle w:val="PageNumber"/>
              <w:rFonts w:cs="Arial"/>
            </w:rPr>
            <w:fldChar w:fldCharType="begin"/>
          </w:r>
          <w:r w:rsidRPr="007E64CA">
            <w:rPr>
              <w:rStyle w:val="PageNumber"/>
              <w:rFonts w:cs="Arial"/>
            </w:rPr>
            <w:instrText xml:space="preserve"> NUMPAGES </w:instrText>
          </w:r>
          <w:r w:rsidR="00B01CE7" w:rsidRPr="007E64CA">
            <w:rPr>
              <w:rStyle w:val="PageNumber"/>
              <w:rFonts w:cs="Arial"/>
            </w:rPr>
            <w:fldChar w:fldCharType="separate"/>
          </w:r>
          <w:r>
            <w:rPr>
              <w:rStyle w:val="PageNumber"/>
              <w:rFonts w:cs="Arial"/>
              <w:noProof/>
            </w:rPr>
            <w:t>2</w:t>
          </w:r>
          <w:r w:rsidR="00B01CE7" w:rsidRPr="007E64CA">
            <w:rPr>
              <w:rStyle w:val="PageNumber"/>
              <w:rFonts w:cs="Arial"/>
            </w:rPr>
            <w:fldChar w:fldCharType="end"/>
          </w:r>
        </w:p>
      </w:tc>
      <w:tc>
        <w:tcPr>
          <w:tcW w:w="872" w:type="dxa"/>
          <w:tcMar>
            <w:top w:w="14" w:type="dxa"/>
            <w:left w:w="115" w:type="dxa"/>
            <w:bottom w:w="14" w:type="dxa"/>
            <w:right w:w="115" w:type="dxa"/>
          </w:tcMar>
        </w:tcPr>
        <w:p w14:paraId="2149E392" w14:textId="77777777" w:rsidR="003C3361" w:rsidRPr="007A7BB8" w:rsidRDefault="003C3361" w:rsidP="00AF5A51">
          <w:pPr>
            <w:tabs>
              <w:tab w:val="center" w:pos="4320"/>
              <w:tab w:val="right" w:pos="8640"/>
            </w:tabs>
            <w:jc w:val="center"/>
            <w:rPr>
              <w:snapToGrid w:val="0"/>
            </w:rPr>
          </w:pPr>
          <w:r w:rsidRPr="007A7BB8">
            <w:rPr>
              <w:snapToGrid w:val="0"/>
            </w:rPr>
            <w:t xml:space="preserve">Rev </w:t>
          </w:r>
          <w:r>
            <w:rPr>
              <w:snapToGrid w:val="0"/>
            </w:rPr>
            <w:t>C</w:t>
          </w:r>
        </w:p>
      </w:tc>
    </w:tr>
  </w:tbl>
  <w:p w14:paraId="2149E394" w14:textId="77777777" w:rsidR="003C3361" w:rsidRDefault="003C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9E36C" w14:textId="77777777" w:rsidR="003F7C49" w:rsidRDefault="003F7C49">
      <w:r>
        <w:separator/>
      </w:r>
    </w:p>
  </w:footnote>
  <w:footnote w:type="continuationSeparator" w:id="0">
    <w:p w14:paraId="2149E36D" w14:textId="77777777" w:rsidR="003F7C49" w:rsidRDefault="003F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E370" w14:textId="77777777" w:rsidR="00A13B2E" w:rsidRDefault="00A1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3C3361" w:rsidRPr="007A7BB8" w14:paraId="2149E374" w14:textId="77777777" w:rsidTr="00AF5A51">
      <w:tc>
        <w:tcPr>
          <w:tcW w:w="5112" w:type="dxa"/>
        </w:tcPr>
        <w:p w14:paraId="2149E371" w14:textId="7692BBE8" w:rsidR="003C3361" w:rsidRPr="007A7BB8" w:rsidRDefault="00F93692" w:rsidP="00AF5A51">
          <w:pPr>
            <w:tabs>
              <w:tab w:val="center" w:pos="4320"/>
              <w:tab w:val="right" w:pos="8640"/>
            </w:tabs>
            <w:jc w:val="both"/>
          </w:pPr>
          <w:r>
            <w:rPr>
              <w:noProof/>
            </w:rPr>
            <w:drawing>
              <wp:inline distT="0" distB="0" distL="0" distR="0" wp14:anchorId="2149E395" wp14:editId="0DBD9A1C">
                <wp:extent cx="1867535" cy="222885"/>
                <wp:effectExtent l="0" t="0" r="0" b="5715"/>
                <wp:docPr id="2"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222885"/>
                        </a:xfrm>
                        <a:prstGeom prst="rect">
                          <a:avLst/>
                        </a:prstGeom>
                        <a:noFill/>
                        <a:ln>
                          <a:noFill/>
                        </a:ln>
                      </pic:spPr>
                    </pic:pic>
                  </a:graphicData>
                </a:graphic>
              </wp:inline>
            </w:drawing>
          </w:r>
        </w:p>
      </w:tc>
      <w:tc>
        <w:tcPr>
          <w:tcW w:w="5148" w:type="dxa"/>
          <w:vAlign w:val="center"/>
        </w:tcPr>
        <w:p w14:paraId="2149E372" w14:textId="77777777" w:rsidR="003C3361" w:rsidRDefault="003C3361" w:rsidP="00242AE9">
          <w:pPr>
            <w:tabs>
              <w:tab w:val="center" w:pos="4320"/>
              <w:tab w:val="right" w:pos="8640"/>
            </w:tabs>
            <w:jc w:val="right"/>
          </w:pPr>
          <w:r>
            <w:t>TI Information – Selective Disclosure</w:t>
          </w:r>
        </w:p>
        <w:p w14:paraId="2149E373" w14:textId="77777777" w:rsidR="003C3361" w:rsidRPr="007A7BB8" w:rsidRDefault="003C3361" w:rsidP="00F66F5F">
          <w:pPr>
            <w:tabs>
              <w:tab w:val="center" w:pos="4320"/>
              <w:tab w:val="right" w:pos="8640"/>
            </w:tabs>
            <w:jc w:val="right"/>
          </w:pPr>
          <w:r>
            <w:t xml:space="preserve">Effective: </w:t>
          </w:r>
          <w:r w:rsidR="00F66F5F">
            <w:t xml:space="preserve"> December 14, 2014</w:t>
          </w:r>
        </w:p>
      </w:tc>
    </w:tr>
  </w:tbl>
  <w:p w14:paraId="2149E375" w14:textId="77777777" w:rsidR="003C3361" w:rsidRPr="007A7BB8" w:rsidRDefault="003C3361" w:rsidP="00691F08">
    <w:pPr>
      <w:tabs>
        <w:tab w:val="center" w:pos="4320"/>
        <w:tab w:val="right" w:pos="8640"/>
      </w:tabs>
      <w:jc w:val="both"/>
    </w:pPr>
  </w:p>
  <w:p w14:paraId="2149E376" w14:textId="77777777" w:rsidR="003C3361" w:rsidRPr="004B610F" w:rsidRDefault="003C3361" w:rsidP="00691F08">
    <w:pPr>
      <w:jc w:val="center"/>
      <w:rPr>
        <w:b/>
        <w:bCs/>
        <w:sz w:val="24"/>
      </w:rPr>
    </w:pPr>
    <w:r>
      <w:rPr>
        <w:b/>
        <w:bCs/>
        <w:sz w:val="24"/>
      </w:rPr>
      <w:t>TI ESH Standard 03.01E - Chemical Storage and Spill Control</w:t>
    </w:r>
  </w:p>
  <w:p w14:paraId="2149E377" w14:textId="77777777" w:rsidR="003C3361" w:rsidRPr="007A7BB8" w:rsidRDefault="003C3361" w:rsidP="00691F08">
    <w:pPr>
      <w:pBdr>
        <w:bottom w:val="single" w:sz="12" w:space="1" w:color="auto"/>
      </w:pBdr>
      <w:tabs>
        <w:tab w:val="center" w:pos="4320"/>
        <w:tab w:val="right" w:pos="8640"/>
      </w:tabs>
      <w:jc w:val="center"/>
      <w:rPr>
        <w:b/>
        <w:bCs/>
      </w:rPr>
    </w:pPr>
  </w:p>
  <w:p w14:paraId="2149E378" w14:textId="77777777" w:rsidR="003C3361" w:rsidRPr="007A7BB8" w:rsidRDefault="003C3361" w:rsidP="00691F08">
    <w:pPr>
      <w:tabs>
        <w:tab w:val="center" w:pos="4320"/>
        <w:tab w:val="right" w:pos="8640"/>
      </w:tabs>
      <w:rPr>
        <w:b/>
        <w:bCs/>
      </w:rPr>
    </w:pPr>
  </w:p>
  <w:p w14:paraId="2149E379" w14:textId="77777777" w:rsidR="003C3361" w:rsidRPr="007A7BB8" w:rsidRDefault="003C3361"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2149E37A" w14:textId="77777777" w:rsidR="003C3361" w:rsidRPr="007A7BB8" w:rsidRDefault="003C3361" w:rsidP="00691F08">
    <w:pPr>
      <w:pBdr>
        <w:bottom w:val="single" w:sz="12" w:space="1" w:color="auto"/>
      </w:pBdr>
      <w:tabs>
        <w:tab w:val="center" w:pos="4320"/>
        <w:tab w:val="right" w:pos="8640"/>
      </w:tabs>
      <w:jc w:val="center"/>
      <w:rPr>
        <w:b/>
        <w:bCs/>
      </w:rPr>
    </w:pPr>
  </w:p>
  <w:p w14:paraId="2149E37B" w14:textId="77777777" w:rsidR="003C3361" w:rsidRDefault="003C3361">
    <w:pP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3C3361" w:rsidRPr="007A7BB8" w14:paraId="2149E386" w14:textId="77777777" w:rsidTr="00AF5A51">
      <w:tc>
        <w:tcPr>
          <w:tcW w:w="5112" w:type="dxa"/>
        </w:tcPr>
        <w:p w14:paraId="2149E384" w14:textId="7F992278" w:rsidR="003C3361" w:rsidRPr="007A7BB8" w:rsidRDefault="00F93692" w:rsidP="00AF5A51">
          <w:pPr>
            <w:tabs>
              <w:tab w:val="center" w:pos="4320"/>
              <w:tab w:val="right" w:pos="8640"/>
            </w:tabs>
            <w:jc w:val="both"/>
          </w:pPr>
          <w:r>
            <w:rPr>
              <w:noProof/>
            </w:rPr>
            <w:drawing>
              <wp:inline distT="0" distB="0" distL="0" distR="0" wp14:anchorId="2149E396" wp14:editId="7AA74F46">
                <wp:extent cx="1867535" cy="222885"/>
                <wp:effectExtent l="0" t="0" r="0" b="5715"/>
                <wp:docPr id="3" name="Picture 3"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222885"/>
                        </a:xfrm>
                        <a:prstGeom prst="rect">
                          <a:avLst/>
                        </a:prstGeom>
                        <a:noFill/>
                        <a:ln>
                          <a:noFill/>
                        </a:ln>
                      </pic:spPr>
                    </pic:pic>
                  </a:graphicData>
                </a:graphic>
              </wp:inline>
            </w:drawing>
          </w:r>
        </w:p>
      </w:tc>
      <w:tc>
        <w:tcPr>
          <w:tcW w:w="5148" w:type="dxa"/>
          <w:vAlign w:val="center"/>
        </w:tcPr>
        <w:p w14:paraId="2149E385" w14:textId="77777777" w:rsidR="003C3361" w:rsidRPr="007A7BB8" w:rsidRDefault="003C3361" w:rsidP="00AF5A51">
          <w:pPr>
            <w:tabs>
              <w:tab w:val="center" w:pos="4320"/>
              <w:tab w:val="right" w:pos="8640"/>
            </w:tabs>
            <w:jc w:val="right"/>
          </w:pPr>
          <w:r>
            <w:t>WWESH</w:t>
          </w:r>
        </w:p>
      </w:tc>
    </w:tr>
  </w:tbl>
  <w:p w14:paraId="2149E387" w14:textId="77777777" w:rsidR="003C3361" w:rsidRPr="007A7BB8" w:rsidRDefault="003C3361" w:rsidP="00DA6132">
    <w:pPr>
      <w:tabs>
        <w:tab w:val="center" w:pos="4320"/>
        <w:tab w:val="right" w:pos="8640"/>
      </w:tabs>
      <w:jc w:val="both"/>
    </w:pPr>
  </w:p>
  <w:p w14:paraId="2149E388" w14:textId="77777777" w:rsidR="003C3361" w:rsidRDefault="003C3361" w:rsidP="00DA6132">
    <w:pPr>
      <w:jc w:val="center"/>
      <w:rPr>
        <w:b/>
        <w:bCs/>
        <w:sz w:val="24"/>
      </w:rPr>
    </w:pPr>
    <w:r>
      <w:rPr>
        <w:b/>
        <w:bCs/>
        <w:sz w:val="24"/>
      </w:rPr>
      <w:t>Document No. xxx-S</w:t>
    </w:r>
  </w:p>
  <w:p w14:paraId="2149E389" w14:textId="77777777" w:rsidR="003C3361" w:rsidRPr="004B610F" w:rsidRDefault="003C3361" w:rsidP="00DA6132">
    <w:pPr>
      <w:jc w:val="center"/>
      <w:rPr>
        <w:b/>
        <w:bCs/>
        <w:sz w:val="24"/>
      </w:rPr>
    </w:pPr>
    <w:r>
      <w:rPr>
        <w:b/>
        <w:bCs/>
        <w:sz w:val="24"/>
      </w:rPr>
      <w:t>TITLE</w:t>
    </w:r>
  </w:p>
  <w:p w14:paraId="2149E38A" w14:textId="77777777" w:rsidR="003C3361" w:rsidRPr="007A7BB8" w:rsidRDefault="003C3361" w:rsidP="00DA6132">
    <w:pPr>
      <w:pBdr>
        <w:bottom w:val="single" w:sz="12" w:space="1" w:color="auto"/>
      </w:pBdr>
      <w:tabs>
        <w:tab w:val="center" w:pos="4320"/>
        <w:tab w:val="right" w:pos="8640"/>
      </w:tabs>
      <w:jc w:val="center"/>
      <w:rPr>
        <w:b/>
        <w:bCs/>
      </w:rPr>
    </w:pPr>
  </w:p>
  <w:p w14:paraId="2149E38B" w14:textId="77777777" w:rsidR="003C3361" w:rsidRPr="007A7BB8" w:rsidRDefault="003C3361" w:rsidP="00DA6132">
    <w:pPr>
      <w:tabs>
        <w:tab w:val="center" w:pos="4320"/>
        <w:tab w:val="right" w:pos="8640"/>
      </w:tabs>
      <w:rPr>
        <w:b/>
        <w:bCs/>
      </w:rPr>
    </w:pPr>
  </w:p>
  <w:p w14:paraId="2149E38C" w14:textId="77777777" w:rsidR="003C3361" w:rsidRPr="007A7BB8" w:rsidRDefault="003C3361"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2149E38D" w14:textId="77777777" w:rsidR="003C3361" w:rsidRPr="007A7BB8" w:rsidRDefault="003C3361" w:rsidP="00DA6132">
    <w:pPr>
      <w:pBdr>
        <w:bottom w:val="single" w:sz="12" w:space="1" w:color="auto"/>
      </w:pBdr>
      <w:tabs>
        <w:tab w:val="center" w:pos="4320"/>
        <w:tab w:val="right" w:pos="8640"/>
      </w:tabs>
      <w:jc w:val="center"/>
      <w:rPr>
        <w:b/>
        <w:bCs/>
      </w:rPr>
    </w:pPr>
  </w:p>
  <w:p w14:paraId="2149E38E" w14:textId="77777777" w:rsidR="003C3361" w:rsidRDefault="003C3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9004264"/>
    <w:multiLevelType w:val="hybridMultilevel"/>
    <w:tmpl w:val="722800BA"/>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start w:val="1"/>
      <w:numFmt w:val="bullet"/>
      <w:lvlText w:val=""/>
      <w:lvlJc w:val="left"/>
      <w:pPr>
        <w:ind w:left="4248" w:hanging="360"/>
      </w:pPr>
      <w:rPr>
        <w:rFonts w:ascii="Wingdings" w:hAnsi="Wingdings" w:hint="default"/>
      </w:rPr>
    </w:lvl>
    <w:lvl w:ilvl="3" w:tplc="0409000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0">
    <w:nsid w:val="39AA0128"/>
    <w:multiLevelType w:val="multilevel"/>
    <w:tmpl w:val="68DC286A"/>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2">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3">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5">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A5061B"/>
    <w:multiLevelType w:val="hybridMultilevel"/>
    <w:tmpl w:val="B882E96A"/>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7">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8">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3">
    <w:nsid w:val="79120858"/>
    <w:multiLevelType w:val="hybridMultilevel"/>
    <w:tmpl w:val="19A66364"/>
    <w:lvl w:ilvl="0" w:tplc="FFFFFFFF">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790" w:hanging="360"/>
      </w:pPr>
      <w:rPr>
        <w:rFonts w:cs="Times New Roman"/>
      </w:rPr>
    </w:lvl>
    <w:lvl w:ilvl="2" w:tplc="FFFFFFFF" w:tentative="1">
      <w:start w:val="1"/>
      <w:numFmt w:val="lowerRoman"/>
      <w:lvlText w:val="%3."/>
      <w:lvlJc w:val="right"/>
      <w:pPr>
        <w:ind w:left="3510" w:hanging="180"/>
      </w:pPr>
      <w:rPr>
        <w:rFonts w:cs="Times New Roman"/>
      </w:rPr>
    </w:lvl>
    <w:lvl w:ilvl="3" w:tplc="FFFFFFFF" w:tentative="1">
      <w:start w:val="1"/>
      <w:numFmt w:val="decimal"/>
      <w:lvlText w:val="%4."/>
      <w:lvlJc w:val="left"/>
      <w:pPr>
        <w:ind w:left="4230" w:hanging="360"/>
      </w:pPr>
      <w:rPr>
        <w:rFonts w:cs="Times New Roman"/>
      </w:rPr>
    </w:lvl>
    <w:lvl w:ilvl="4" w:tplc="FFFFFFFF" w:tentative="1">
      <w:start w:val="1"/>
      <w:numFmt w:val="lowerLetter"/>
      <w:lvlText w:val="%5."/>
      <w:lvlJc w:val="left"/>
      <w:pPr>
        <w:ind w:left="4950" w:hanging="360"/>
      </w:pPr>
      <w:rPr>
        <w:rFonts w:cs="Times New Roman"/>
      </w:rPr>
    </w:lvl>
    <w:lvl w:ilvl="5" w:tplc="FFFFFFFF" w:tentative="1">
      <w:start w:val="1"/>
      <w:numFmt w:val="lowerRoman"/>
      <w:lvlText w:val="%6."/>
      <w:lvlJc w:val="right"/>
      <w:pPr>
        <w:ind w:left="5670" w:hanging="180"/>
      </w:pPr>
      <w:rPr>
        <w:rFonts w:cs="Times New Roman"/>
      </w:rPr>
    </w:lvl>
    <w:lvl w:ilvl="6" w:tplc="FFFFFFFF" w:tentative="1">
      <w:start w:val="1"/>
      <w:numFmt w:val="decimal"/>
      <w:lvlText w:val="%7."/>
      <w:lvlJc w:val="left"/>
      <w:pPr>
        <w:ind w:left="6390" w:hanging="360"/>
      </w:pPr>
      <w:rPr>
        <w:rFonts w:cs="Times New Roman"/>
      </w:rPr>
    </w:lvl>
    <w:lvl w:ilvl="7" w:tplc="FFFFFFFF" w:tentative="1">
      <w:start w:val="1"/>
      <w:numFmt w:val="lowerLetter"/>
      <w:lvlText w:val="%8."/>
      <w:lvlJc w:val="left"/>
      <w:pPr>
        <w:ind w:left="7110" w:hanging="360"/>
      </w:pPr>
      <w:rPr>
        <w:rFonts w:cs="Times New Roman"/>
      </w:rPr>
    </w:lvl>
    <w:lvl w:ilvl="8" w:tplc="FFFFFFFF" w:tentative="1">
      <w:start w:val="1"/>
      <w:numFmt w:val="lowerRoman"/>
      <w:lvlText w:val="%9."/>
      <w:lvlJc w:val="right"/>
      <w:pPr>
        <w:ind w:left="7830" w:hanging="180"/>
      </w:pPr>
      <w:rPr>
        <w:rFonts w:cs="Times New Roman"/>
      </w:rPr>
    </w:lvl>
  </w:abstractNum>
  <w:num w:numId="1">
    <w:abstractNumId w:val="5"/>
  </w:num>
  <w:num w:numId="2">
    <w:abstractNumId w:val="17"/>
  </w:num>
  <w:num w:numId="3">
    <w:abstractNumId w:val="2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0"/>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2"/>
  </w:num>
  <w:num w:numId="12">
    <w:abstractNumId w:val="8"/>
  </w:num>
  <w:num w:numId="13">
    <w:abstractNumId w:val="19"/>
  </w:num>
  <w:num w:numId="14">
    <w:abstractNumId w:val="3"/>
  </w:num>
  <w:num w:numId="15">
    <w:abstractNumId w:val="15"/>
  </w:num>
  <w:num w:numId="16">
    <w:abstractNumId w:val="18"/>
  </w:num>
  <w:num w:numId="17">
    <w:abstractNumId w:val="14"/>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0"/>
    <w:lvlOverride w:ilvl="0">
      <w:startOverride w:val="5"/>
    </w:lvlOverride>
    <w:lvlOverride w:ilvl="1">
      <w:startOverride w:val="1"/>
    </w:lvlOverride>
    <w:lvlOverride w:ilvl="2">
      <w:startOverride w:val="3"/>
    </w:lvlOverride>
  </w:num>
  <w:num w:numId="28">
    <w:abstractNumId w:val="10"/>
  </w:num>
  <w:num w:numId="29">
    <w:abstractNumId w:val="10"/>
    <w:lvlOverride w:ilvl="0">
      <w:startOverride w:val="5"/>
    </w:lvlOverride>
    <w:lvlOverride w:ilvl="1">
      <w:startOverride w:val="11"/>
    </w:lvlOverride>
    <w:lvlOverride w:ilvl="2">
      <w:startOverride w:val="3"/>
    </w:lvlOverride>
  </w:num>
  <w:num w:numId="30">
    <w:abstractNumId w:val="10"/>
    <w:lvlOverride w:ilvl="0">
      <w:startOverride w:val="5"/>
    </w:lvlOverride>
    <w:lvlOverride w:ilvl="1">
      <w:startOverride w:val="11"/>
    </w:lvlOverride>
    <w:lvlOverride w:ilvl="2">
      <w:startOverride w:val="3"/>
    </w:lvlOverride>
    <w:lvlOverride w:ilvl="3">
      <w:startOverride w:val="2"/>
    </w:lvlOverride>
  </w:num>
  <w:num w:numId="31">
    <w:abstractNumId w:val="20"/>
  </w:num>
  <w:num w:numId="32">
    <w:abstractNumId w:val="9"/>
  </w:num>
  <w:num w:numId="33">
    <w:abstractNumId w:val="20"/>
    <w:lvlOverride w:ilvl="0">
      <w:startOverride w:val="1"/>
    </w:lvlOverride>
  </w:num>
  <w:num w:numId="34">
    <w:abstractNumId w:val="20"/>
    <w:lvlOverride w:ilvl="0">
      <w:startOverride w:val="1"/>
    </w:lvlOverride>
  </w:num>
  <w:num w:numId="35">
    <w:abstractNumId w:val="23"/>
  </w:num>
  <w:num w:numId="36">
    <w:abstractNumId w:val="16"/>
  </w:num>
  <w:num w:numId="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24D0"/>
    <w:rsid w:val="00030E2D"/>
    <w:rsid w:val="00031932"/>
    <w:rsid w:val="000377CB"/>
    <w:rsid w:val="000378FF"/>
    <w:rsid w:val="000401E8"/>
    <w:rsid w:val="0004203C"/>
    <w:rsid w:val="00046264"/>
    <w:rsid w:val="00047F91"/>
    <w:rsid w:val="000564B8"/>
    <w:rsid w:val="0005731E"/>
    <w:rsid w:val="00067F28"/>
    <w:rsid w:val="00071624"/>
    <w:rsid w:val="00074E7B"/>
    <w:rsid w:val="000815BE"/>
    <w:rsid w:val="00084B1A"/>
    <w:rsid w:val="00085246"/>
    <w:rsid w:val="000A2C99"/>
    <w:rsid w:val="000A6D72"/>
    <w:rsid w:val="000A7425"/>
    <w:rsid w:val="000B13F5"/>
    <w:rsid w:val="000B38CD"/>
    <w:rsid w:val="000C0321"/>
    <w:rsid w:val="000C03BB"/>
    <w:rsid w:val="000C2B5C"/>
    <w:rsid w:val="000C3968"/>
    <w:rsid w:val="000D791D"/>
    <w:rsid w:val="000E2B0C"/>
    <w:rsid w:val="000E6072"/>
    <w:rsid w:val="000F0C95"/>
    <w:rsid w:val="000F43FD"/>
    <w:rsid w:val="00112A3A"/>
    <w:rsid w:val="0011317B"/>
    <w:rsid w:val="00122352"/>
    <w:rsid w:val="001328C7"/>
    <w:rsid w:val="00132EF0"/>
    <w:rsid w:val="00133381"/>
    <w:rsid w:val="001348A2"/>
    <w:rsid w:val="001363EF"/>
    <w:rsid w:val="001407C9"/>
    <w:rsid w:val="00151C0D"/>
    <w:rsid w:val="001529B9"/>
    <w:rsid w:val="00160586"/>
    <w:rsid w:val="0016351F"/>
    <w:rsid w:val="001704EB"/>
    <w:rsid w:val="001733F6"/>
    <w:rsid w:val="00174319"/>
    <w:rsid w:val="00180E58"/>
    <w:rsid w:val="00181A8D"/>
    <w:rsid w:val="00183C82"/>
    <w:rsid w:val="00185035"/>
    <w:rsid w:val="0019098E"/>
    <w:rsid w:val="00191F2E"/>
    <w:rsid w:val="001963DC"/>
    <w:rsid w:val="00196E08"/>
    <w:rsid w:val="001A106E"/>
    <w:rsid w:val="001A21EE"/>
    <w:rsid w:val="001A25F2"/>
    <w:rsid w:val="001A5373"/>
    <w:rsid w:val="001A6C64"/>
    <w:rsid w:val="001B0EFC"/>
    <w:rsid w:val="001C0E12"/>
    <w:rsid w:val="001D3922"/>
    <w:rsid w:val="001D3BB8"/>
    <w:rsid w:val="001E02A0"/>
    <w:rsid w:val="001E66AA"/>
    <w:rsid w:val="001E6A6F"/>
    <w:rsid w:val="001F2C82"/>
    <w:rsid w:val="001F2EFD"/>
    <w:rsid w:val="001F345B"/>
    <w:rsid w:val="001F6F07"/>
    <w:rsid w:val="00205AAA"/>
    <w:rsid w:val="00211E74"/>
    <w:rsid w:val="0021630C"/>
    <w:rsid w:val="002212B8"/>
    <w:rsid w:val="00221A0F"/>
    <w:rsid w:val="00221EB8"/>
    <w:rsid w:val="00225F5E"/>
    <w:rsid w:val="0022643D"/>
    <w:rsid w:val="0023452B"/>
    <w:rsid w:val="00242AE9"/>
    <w:rsid w:val="00246F39"/>
    <w:rsid w:val="00246F6D"/>
    <w:rsid w:val="00250F9A"/>
    <w:rsid w:val="00251F3B"/>
    <w:rsid w:val="002558D5"/>
    <w:rsid w:val="00275676"/>
    <w:rsid w:val="002769F7"/>
    <w:rsid w:val="00282EBC"/>
    <w:rsid w:val="0028448E"/>
    <w:rsid w:val="00286F22"/>
    <w:rsid w:val="00286FA7"/>
    <w:rsid w:val="0028705C"/>
    <w:rsid w:val="00295934"/>
    <w:rsid w:val="00297BCF"/>
    <w:rsid w:val="002A25CC"/>
    <w:rsid w:val="002B3F6E"/>
    <w:rsid w:val="002C341A"/>
    <w:rsid w:val="002C6FE6"/>
    <w:rsid w:val="002C730E"/>
    <w:rsid w:val="002D042E"/>
    <w:rsid w:val="002D2374"/>
    <w:rsid w:val="002D58CC"/>
    <w:rsid w:val="002D5CBD"/>
    <w:rsid w:val="002D61EA"/>
    <w:rsid w:val="002D7940"/>
    <w:rsid w:val="002E07E8"/>
    <w:rsid w:val="002E0A74"/>
    <w:rsid w:val="002F2E4A"/>
    <w:rsid w:val="002F46AB"/>
    <w:rsid w:val="002F718F"/>
    <w:rsid w:val="0030490C"/>
    <w:rsid w:val="003177F7"/>
    <w:rsid w:val="003271AB"/>
    <w:rsid w:val="00333F78"/>
    <w:rsid w:val="00335C01"/>
    <w:rsid w:val="00336B9A"/>
    <w:rsid w:val="00342375"/>
    <w:rsid w:val="00342F31"/>
    <w:rsid w:val="00344BE7"/>
    <w:rsid w:val="00363064"/>
    <w:rsid w:val="003700D3"/>
    <w:rsid w:val="00370492"/>
    <w:rsid w:val="003807E2"/>
    <w:rsid w:val="003854F3"/>
    <w:rsid w:val="0039399F"/>
    <w:rsid w:val="003A299D"/>
    <w:rsid w:val="003A3ACC"/>
    <w:rsid w:val="003B06DF"/>
    <w:rsid w:val="003B1F20"/>
    <w:rsid w:val="003B5520"/>
    <w:rsid w:val="003B6D50"/>
    <w:rsid w:val="003C2545"/>
    <w:rsid w:val="003C3361"/>
    <w:rsid w:val="003D1893"/>
    <w:rsid w:val="003D3EF3"/>
    <w:rsid w:val="003D4081"/>
    <w:rsid w:val="003D7EC4"/>
    <w:rsid w:val="003E4D20"/>
    <w:rsid w:val="003E4F9F"/>
    <w:rsid w:val="003F7C49"/>
    <w:rsid w:val="003F7F74"/>
    <w:rsid w:val="0040355D"/>
    <w:rsid w:val="00404C81"/>
    <w:rsid w:val="0040793E"/>
    <w:rsid w:val="004135DB"/>
    <w:rsid w:val="00416E27"/>
    <w:rsid w:val="00422D85"/>
    <w:rsid w:val="004262A6"/>
    <w:rsid w:val="004272F2"/>
    <w:rsid w:val="004313C3"/>
    <w:rsid w:val="00432AEA"/>
    <w:rsid w:val="00432D48"/>
    <w:rsid w:val="00433344"/>
    <w:rsid w:val="0043782A"/>
    <w:rsid w:val="004419D5"/>
    <w:rsid w:val="0044212B"/>
    <w:rsid w:val="00445A27"/>
    <w:rsid w:val="004567EF"/>
    <w:rsid w:val="0046187A"/>
    <w:rsid w:val="004706D6"/>
    <w:rsid w:val="0048334E"/>
    <w:rsid w:val="004B371F"/>
    <w:rsid w:val="004B610F"/>
    <w:rsid w:val="004C6974"/>
    <w:rsid w:val="004D0866"/>
    <w:rsid w:val="004D67A9"/>
    <w:rsid w:val="004E04A3"/>
    <w:rsid w:val="004E12D0"/>
    <w:rsid w:val="004E3993"/>
    <w:rsid w:val="004F0864"/>
    <w:rsid w:val="004F33FE"/>
    <w:rsid w:val="004F4837"/>
    <w:rsid w:val="00517516"/>
    <w:rsid w:val="00521323"/>
    <w:rsid w:val="005265C3"/>
    <w:rsid w:val="00530A1D"/>
    <w:rsid w:val="005369AB"/>
    <w:rsid w:val="00545ADF"/>
    <w:rsid w:val="0054622D"/>
    <w:rsid w:val="00552308"/>
    <w:rsid w:val="00554421"/>
    <w:rsid w:val="00567C5B"/>
    <w:rsid w:val="00576794"/>
    <w:rsid w:val="00582CF2"/>
    <w:rsid w:val="00583408"/>
    <w:rsid w:val="005836EF"/>
    <w:rsid w:val="005907E4"/>
    <w:rsid w:val="00591BE0"/>
    <w:rsid w:val="005B1DC5"/>
    <w:rsid w:val="005B2A4F"/>
    <w:rsid w:val="005B32E5"/>
    <w:rsid w:val="005C2B28"/>
    <w:rsid w:val="005D12BD"/>
    <w:rsid w:val="005E1789"/>
    <w:rsid w:val="005E6CF5"/>
    <w:rsid w:val="005F47A2"/>
    <w:rsid w:val="0060005F"/>
    <w:rsid w:val="006035A6"/>
    <w:rsid w:val="0060577E"/>
    <w:rsid w:val="006067BA"/>
    <w:rsid w:val="00607211"/>
    <w:rsid w:val="00625EB8"/>
    <w:rsid w:val="00626293"/>
    <w:rsid w:val="00627F3E"/>
    <w:rsid w:val="006309BC"/>
    <w:rsid w:val="00631283"/>
    <w:rsid w:val="00641E5F"/>
    <w:rsid w:val="00645A8E"/>
    <w:rsid w:val="006465F8"/>
    <w:rsid w:val="00646FEF"/>
    <w:rsid w:val="00652232"/>
    <w:rsid w:val="006542E7"/>
    <w:rsid w:val="006620F1"/>
    <w:rsid w:val="006725DF"/>
    <w:rsid w:val="0067388A"/>
    <w:rsid w:val="00675200"/>
    <w:rsid w:val="006763BE"/>
    <w:rsid w:val="00684329"/>
    <w:rsid w:val="00687930"/>
    <w:rsid w:val="006910FB"/>
    <w:rsid w:val="00691F08"/>
    <w:rsid w:val="0069328C"/>
    <w:rsid w:val="006A0EA9"/>
    <w:rsid w:val="006A3124"/>
    <w:rsid w:val="006A5C8B"/>
    <w:rsid w:val="006A65CE"/>
    <w:rsid w:val="006C0009"/>
    <w:rsid w:val="006C16CA"/>
    <w:rsid w:val="006D7590"/>
    <w:rsid w:val="006E548F"/>
    <w:rsid w:val="006E5736"/>
    <w:rsid w:val="00704CA9"/>
    <w:rsid w:val="00730BE3"/>
    <w:rsid w:val="00732EA2"/>
    <w:rsid w:val="00733AD7"/>
    <w:rsid w:val="00734F7F"/>
    <w:rsid w:val="00735087"/>
    <w:rsid w:val="0074179B"/>
    <w:rsid w:val="00743E2A"/>
    <w:rsid w:val="00753336"/>
    <w:rsid w:val="007713B0"/>
    <w:rsid w:val="00775F89"/>
    <w:rsid w:val="0077698B"/>
    <w:rsid w:val="00782B67"/>
    <w:rsid w:val="00787C1A"/>
    <w:rsid w:val="00790F8C"/>
    <w:rsid w:val="00794EFF"/>
    <w:rsid w:val="007A1B24"/>
    <w:rsid w:val="007A27C1"/>
    <w:rsid w:val="007A3D98"/>
    <w:rsid w:val="007A7BB8"/>
    <w:rsid w:val="007B22A4"/>
    <w:rsid w:val="007B7078"/>
    <w:rsid w:val="007C057F"/>
    <w:rsid w:val="007C105C"/>
    <w:rsid w:val="007C1717"/>
    <w:rsid w:val="007C2A78"/>
    <w:rsid w:val="007C2C26"/>
    <w:rsid w:val="007C2EA5"/>
    <w:rsid w:val="007C3CFD"/>
    <w:rsid w:val="007D10E6"/>
    <w:rsid w:val="007E64CA"/>
    <w:rsid w:val="007F1D3B"/>
    <w:rsid w:val="007F6933"/>
    <w:rsid w:val="008000E3"/>
    <w:rsid w:val="008030C8"/>
    <w:rsid w:val="00806B47"/>
    <w:rsid w:val="00812733"/>
    <w:rsid w:val="00813B8E"/>
    <w:rsid w:val="008141FA"/>
    <w:rsid w:val="00820726"/>
    <w:rsid w:val="0082250B"/>
    <w:rsid w:val="00827BA3"/>
    <w:rsid w:val="00830745"/>
    <w:rsid w:val="008340A2"/>
    <w:rsid w:val="0084180E"/>
    <w:rsid w:val="0084452F"/>
    <w:rsid w:val="00854E3C"/>
    <w:rsid w:val="008559EA"/>
    <w:rsid w:val="00862E1E"/>
    <w:rsid w:val="00863348"/>
    <w:rsid w:val="00876534"/>
    <w:rsid w:val="008808DB"/>
    <w:rsid w:val="00881489"/>
    <w:rsid w:val="008A1650"/>
    <w:rsid w:val="008A1A5E"/>
    <w:rsid w:val="008A68E8"/>
    <w:rsid w:val="008A73A8"/>
    <w:rsid w:val="008B2835"/>
    <w:rsid w:val="008B758E"/>
    <w:rsid w:val="008C2C99"/>
    <w:rsid w:val="008C339F"/>
    <w:rsid w:val="008C5CF9"/>
    <w:rsid w:val="008D4A98"/>
    <w:rsid w:val="008E03C7"/>
    <w:rsid w:val="008E21A4"/>
    <w:rsid w:val="008E2D20"/>
    <w:rsid w:val="008E46BA"/>
    <w:rsid w:val="008E6926"/>
    <w:rsid w:val="008E7418"/>
    <w:rsid w:val="008F1B35"/>
    <w:rsid w:val="008F65CD"/>
    <w:rsid w:val="008F77C1"/>
    <w:rsid w:val="00901F6B"/>
    <w:rsid w:val="00903256"/>
    <w:rsid w:val="00904C46"/>
    <w:rsid w:val="009061AE"/>
    <w:rsid w:val="00911ED1"/>
    <w:rsid w:val="00920475"/>
    <w:rsid w:val="00920534"/>
    <w:rsid w:val="00923CDD"/>
    <w:rsid w:val="00925407"/>
    <w:rsid w:val="00927123"/>
    <w:rsid w:val="009327D3"/>
    <w:rsid w:val="00933C07"/>
    <w:rsid w:val="00934AE1"/>
    <w:rsid w:val="00935FFB"/>
    <w:rsid w:val="009518D8"/>
    <w:rsid w:val="0096603B"/>
    <w:rsid w:val="009700A9"/>
    <w:rsid w:val="00970BF5"/>
    <w:rsid w:val="00971F25"/>
    <w:rsid w:val="00972176"/>
    <w:rsid w:val="00973149"/>
    <w:rsid w:val="00980277"/>
    <w:rsid w:val="00982CA5"/>
    <w:rsid w:val="009863E3"/>
    <w:rsid w:val="00990353"/>
    <w:rsid w:val="00993E16"/>
    <w:rsid w:val="00994EB4"/>
    <w:rsid w:val="009962FC"/>
    <w:rsid w:val="0099664F"/>
    <w:rsid w:val="009974B2"/>
    <w:rsid w:val="009A5DC4"/>
    <w:rsid w:val="009B0B04"/>
    <w:rsid w:val="009B0B8F"/>
    <w:rsid w:val="009B3D56"/>
    <w:rsid w:val="009C11D0"/>
    <w:rsid w:val="009D02DE"/>
    <w:rsid w:val="009D7B4F"/>
    <w:rsid w:val="009E3242"/>
    <w:rsid w:val="009E4324"/>
    <w:rsid w:val="009F7BC3"/>
    <w:rsid w:val="00A01A02"/>
    <w:rsid w:val="00A0346E"/>
    <w:rsid w:val="00A0580F"/>
    <w:rsid w:val="00A078C3"/>
    <w:rsid w:val="00A107E1"/>
    <w:rsid w:val="00A13B2E"/>
    <w:rsid w:val="00A253D3"/>
    <w:rsid w:val="00A27E5A"/>
    <w:rsid w:val="00A304EF"/>
    <w:rsid w:val="00A3251F"/>
    <w:rsid w:val="00A35242"/>
    <w:rsid w:val="00A37F99"/>
    <w:rsid w:val="00A402A7"/>
    <w:rsid w:val="00A422F7"/>
    <w:rsid w:val="00A42E91"/>
    <w:rsid w:val="00A4709D"/>
    <w:rsid w:val="00A50A44"/>
    <w:rsid w:val="00A66685"/>
    <w:rsid w:val="00A726D6"/>
    <w:rsid w:val="00A778D3"/>
    <w:rsid w:val="00A91F30"/>
    <w:rsid w:val="00AA15F6"/>
    <w:rsid w:val="00AA2F31"/>
    <w:rsid w:val="00AA7685"/>
    <w:rsid w:val="00AB6249"/>
    <w:rsid w:val="00AB7E1F"/>
    <w:rsid w:val="00AC753D"/>
    <w:rsid w:val="00AD1AC8"/>
    <w:rsid w:val="00AE5947"/>
    <w:rsid w:val="00AE649B"/>
    <w:rsid w:val="00AF3D3F"/>
    <w:rsid w:val="00AF4AA8"/>
    <w:rsid w:val="00AF5853"/>
    <w:rsid w:val="00AF5A51"/>
    <w:rsid w:val="00B01CE7"/>
    <w:rsid w:val="00B01ED8"/>
    <w:rsid w:val="00B1278A"/>
    <w:rsid w:val="00B12DAF"/>
    <w:rsid w:val="00B20DC1"/>
    <w:rsid w:val="00B33F5B"/>
    <w:rsid w:val="00B57B92"/>
    <w:rsid w:val="00B72D8B"/>
    <w:rsid w:val="00B85856"/>
    <w:rsid w:val="00B91090"/>
    <w:rsid w:val="00B916F8"/>
    <w:rsid w:val="00B92419"/>
    <w:rsid w:val="00B93058"/>
    <w:rsid w:val="00B94E21"/>
    <w:rsid w:val="00B96ADC"/>
    <w:rsid w:val="00B970B5"/>
    <w:rsid w:val="00BA2BEA"/>
    <w:rsid w:val="00BA5E1A"/>
    <w:rsid w:val="00BA7B9E"/>
    <w:rsid w:val="00BB2E52"/>
    <w:rsid w:val="00BB365C"/>
    <w:rsid w:val="00BC12CA"/>
    <w:rsid w:val="00BC53DA"/>
    <w:rsid w:val="00BD377E"/>
    <w:rsid w:val="00BD6021"/>
    <w:rsid w:val="00BE2C40"/>
    <w:rsid w:val="00BE4326"/>
    <w:rsid w:val="00BE4740"/>
    <w:rsid w:val="00C0071A"/>
    <w:rsid w:val="00C00C38"/>
    <w:rsid w:val="00C207DA"/>
    <w:rsid w:val="00C27BEC"/>
    <w:rsid w:val="00C31C3F"/>
    <w:rsid w:val="00C45E0B"/>
    <w:rsid w:val="00C62275"/>
    <w:rsid w:val="00C70E2E"/>
    <w:rsid w:val="00C7148E"/>
    <w:rsid w:val="00C7582A"/>
    <w:rsid w:val="00C8033E"/>
    <w:rsid w:val="00C8698B"/>
    <w:rsid w:val="00C8763D"/>
    <w:rsid w:val="00C95A56"/>
    <w:rsid w:val="00C9698B"/>
    <w:rsid w:val="00C96CC9"/>
    <w:rsid w:val="00CA3E23"/>
    <w:rsid w:val="00CB1B46"/>
    <w:rsid w:val="00CC350B"/>
    <w:rsid w:val="00CC4F21"/>
    <w:rsid w:val="00CC52AF"/>
    <w:rsid w:val="00CE1758"/>
    <w:rsid w:val="00CE197A"/>
    <w:rsid w:val="00CE27B4"/>
    <w:rsid w:val="00CE5846"/>
    <w:rsid w:val="00CE5B83"/>
    <w:rsid w:val="00CF0E2D"/>
    <w:rsid w:val="00CF457A"/>
    <w:rsid w:val="00CF5E87"/>
    <w:rsid w:val="00D019C6"/>
    <w:rsid w:val="00D02BA8"/>
    <w:rsid w:val="00D04842"/>
    <w:rsid w:val="00D26A92"/>
    <w:rsid w:val="00D357A7"/>
    <w:rsid w:val="00D45767"/>
    <w:rsid w:val="00D47F60"/>
    <w:rsid w:val="00D54FAD"/>
    <w:rsid w:val="00D640CA"/>
    <w:rsid w:val="00D666E8"/>
    <w:rsid w:val="00D726FF"/>
    <w:rsid w:val="00D85A7A"/>
    <w:rsid w:val="00D87D08"/>
    <w:rsid w:val="00D92F03"/>
    <w:rsid w:val="00D96521"/>
    <w:rsid w:val="00D9708A"/>
    <w:rsid w:val="00D9748E"/>
    <w:rsid w:val="00DA20E1"/>
    <w:rsid w:val="00DA434A"/>
    <w:rsid w:val="00DA50EA"/>
    <w:rsid w:val="00DA5A62"/>
    <w:rsid w:val="00DA6132"/>
    <w:rsid w:val="00DA70DF"/>
    <w:rsid w:val="00DC4B37"/>
    <w:rsid w:val="00DC5FDC"/>
    <w:rsid w:val="00DC6380"/>
    <w:rsid w:val="00DD44DD"/>
    <w:rsid w:val="00DE5E69"/>
    <w:rsid w:val="00DF2D51"/>
    <w:rsid w:val="00DF74C6"/>
    <w:rsid w:val="00E0037E"/>
    <w:rsid w:val="00E00701"/>
    <w:rsid w:val="00E00CDE"/>
    <w:rsid w:val="00E0308A"/>
    <w:rsid w:val="00E04856"/>
    <w:rsid w:val="00E04FFF"/>
    <w:rsid w:val="00E05046"/>
    <w:rsid w:val="00E1055B"/>
    <w:rsid w:val="00E11519"/>
    <w:rsid w:val="00E13C25"/>
    <w:rsid w:val="00E14F80"/>
    <w:rsid w:val="00E15A60"/>
    <w:rsid w:val="00E17C51"/>
    <w:rsid w:val="00E21058"/>
    <w:rsid w:val="00E37909"/>
    <w:rsid w:val="00E43DA2"/>
    <w:rsid w:val="00E46E90"/>
    <w:rsid w:val="00E63103"/>
    <w:rsid w:val="00E76D64"/>
    <w:rsid w:val="00E80A4F"/>
    <w:rsid w:val="00E8581C"/>
    <w:rsid w:val="00E87798"/>
    <w:rsid w:val="00E87B94"/>
    <w:rsid w:val="00E923E5"/>
    <w:rsid w:val="00EB498E"/>
    <w:rsid w:val="00EF0754"/>
    <w:rsid w:val="00EF7EAB"/>
    <w:rsid w:val="00F027E5"/>
    <w:rsid w:val="00F11938"/>
    <w:rsid w:val="00F16931"/>
    <w:rsid w:val="00F176F7"/>
    <w:rsid w:val="00F22EDC"/>
    <w:rsid w:val="00F33BB4"/>
    <w:rsid w:val="00F3701A"/>
    <w:rsid w:val="00F3763B"/>
    <w:rsid w:val="00F40106"/>
    <w:rsid w:val="00F4126F"/>
    <w:rsid w:val="00F42432"/>
    <w:rsid w:val="00F46020"/>
    <w:rsid w:val="00F476DF"/>
    <w:rsid w:val="00F5029C"/>
    <w:rsid w:val="00F55309"/>
    <w:rsid w:val="00F614B4"/>
    <w:rsid w:val="00F61E81"/>
    <w:rsid w:val="00F62F24"/>
    <w:rsid w:val="00F66F5F"/>
    <w:rsid w:val="00F67C0E"/>
    <w:rsid w:val="00F708BA"/>
    <w:rsid w:val="00F8335E"/>
    <w:rsid w:val="00F85E6F"/>
    <w:rsid w:val="00F925FD"/>
    <w:rsid w:val="00F92640"/>
    <w:rsid w:val="00F92AA9"/>
    <w:rsid w:val="00F93692"/>
    <w:rsid w:val="00FA4155"/>
    <w:rsid w:val="00FB0BC4"/>
    <w:rsid w:val="00FB29F4"/>
    <w:rsid w:val="00FB4633"/>
    <w:rsid w:val="00FB69FF"/>
    <w:rsid w:val="00FC0C80"/>
    <w:rsid w:val="00FC0C8C"/>
    <w:rsid w:val="00FC1001"/>
    <w:rsid w:val="00FC6FBC"/>
    <w:rsid w:val="00FE4A6D"/>
    <w:rsid w:val="00FE745C"/>
    <w:rsid w:val="00FF128B"/>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2149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3C3361"/>
    <w:pPr>
      <w:numPr>
        <w:ilvl w:val="1"/>
        <w:numId w:val="6"/>
      </w:numPr>
      <w:tabs>
        <w:tab w:val="num" w:pos="990"/>
      </w:tabs>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D47F60"/>
    <w:pPr>
      <w:numPr>
        <w:ilvl w:val="2"/>
        <w:numId w:val="6"/>
      </w:numPr>
      <w:tabs>
        <w:tab w:val="num" w:pos="1620"/>
      </w:tabs>
      <w:spacing w:before="60" w:after="60"/>
      <w:ind w:left="1620" w:hanging="630"/>
      <w:outlineLvl w:val="2"/>
    </w:pPr>
    <w:rPr>
      <w:rFonts w:ascii="Arial" w:eastAsia="Times New Roman" w:hAnsi="Arial" w:cs="Arial"/>
    </w:rPr>
  </w:style>
  <w:style w:type="paragraph" w:styleId="Heading4">
    <w:name w:val="heading 4"/>
    <w:basedOn w:val="Normal"/>
    <w:next w:val="Normal"/>
    <w:link w:val="Heading4Char"/>
    <w:uiPriority w:val="99"/>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C3361"/>
    <w:rPr>
      <w:rFonts w:ascii="Arial" w:hAnsi="Arial" w:cs="Arial"/>
    </w:rPr>
  </w:style>
  <w:style w:type="character" w:customStyle="1" w:styleId="Heading3Char">
    <w:name w:val="Heading 3 Char"/>
    <w:basedOn w:val="DefaultParagraphFont"/>
    <w:link w:val="Heading3"/>
    <w:uiPriority w:val="99"/>
    <w:locked/>
    <w:rsid w:val="00D47F60"/>
    <w:rPr>
      <w:rFonts w:ascii="Arial" w:hAnsi="Arial" w:cs="Arial"/>
    </w:rPr>
  </w:style>
  <w:style w:type="character" w:customStyle="1" w:styleId="Heading4Char">
    <w:name w:val="Heading 4 Char"/>
    <w:basedOn w:val="DefaultParagraphFont"/>
    <w:link w:val="Heading4"/>
    <w:uiPriority w:val="99"/>
    <w:semiHidden/>
    <w:locked/>
    <w:rsid w:val="00775F8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9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9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84694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3C3361"/>
    <w:pPr>
      <w:numPr>
        <w:ilvl w:val="1"/>
        <w:numId w:val="6"/>
      </w:numPr>
      <w:tabs>
        <w:tab w:val="num" w:pos="990"/>
      </w:tabs>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D47F60"/>
    <w:pPr>
      <w:numPr>
        <w:ilvl w:val="2"/>
        <w:numId w:val="6"/>
      </w:numPr>
      <w:tabs>
        <w:tab w:val="num" w:pos="1620"/>
      </w:tabs>
      <w:spacing w:before="60" w:after="60"/>
      <w:ind w:left="1620" w:hanging="630"/>
      <w:outlineLvl w:val="2"/>
    </w:pPr>
    <w:rPr>
      <w:rFonts w:ascii="Arial" w:eastAsia="Times New Roman" w:hAnsi="Arial" w:cs="Arial"/>
    </w:rPr>
  </w:style>
  <w:style w:type="paragraph" w:styleId="Heading4">
    <w:name w:val="heading 4"/>
    <w:basedOn w:val="Normal"/>
    <w:next w:val="Normal"/>
    <w:link w:val="Heading4Char"/>
    <w:uiPriority w:val="99"/>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C3361"/>
    <w:rPr>
      <w:rFonts w:ascii="Arial" w:hAnsi="Arial" w:cs="Arial"/>
    </w:rPr>
  </w:style>
  <w:style w:type="character" w:customStyle="1" w:styleId="Heading3Char">
    <w:name w:val="Heading 3 Char"/>
    <w:basedOn w:val="DefaultParagraphFont"/>
    <w:link w:val="Heading3"/>
    <w:uiPriority w:val="99"/>
    <w:locked/>
    <w:rsid w:val="00D47F60"/>
    <w:rPr>
      <w:rFonts w:ascii="Arial" w:hAnsi="Arial" w:cs="Arial"/>
    </w:rPr>
  </w:style>
  <w:style w:type="character" w:customStyle="1" w:styleId="Heading4Char">
    <w:name w:val="Heading 4 Char"/>
    <w:basedOn w:val="DefaultParagraphFont"/>
    <w:link w:val="Heading4"/>
    <w:uiPriority w:val="99"/>
    <w:semiHidden/>
    <w:locked/>
    <w:rsid w:val="00775F8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9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9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84694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s01.itg.ti.com/sites/wwf/esh/standards/Knowledge_Bank/05-01.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ps01.itg.ti.com/sites/wwf/esh/standards/Knowledge_Bank/03-01.do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2017-05-24T05:00:00+00:00</Revised_x0020_Date>
    <Standard_x0020_or_x0020_Attachment_x003f_ xmlns="64162d5b-7865-4a0f-87c1-6c7dc75ec617">Standard/Spec</Standard_x0020_or_x0020_Attachment_x003f_>
    <Prgm_x0020_Owner xmlns="64162d5b-7865-4a0f-87c1-6c7dc75ec617">Tina Gilliland</Prgm_x0020_Owner>
    <Program_Rqrd_x003f_ xmlns="64162d5b-7865-4a0f-87c1-6c7dc75ec617">true</Program_Rqrd_x003f_>
    <Std_x0023_ xmlns="64162d5b-7865-4a0f-87c1-6c7dc75ec617">03.01E</Std_x0023_>
    <ESH_x0020_Standard xmlns="64162d5b-7865-4a0f-87c1-6c7dc75ec617">
      <Url>https://sps16.itg.ti.com/sites/Standards/ACP_DCP/Forms/Approved.aspx</Url>
      <Description>03.01E</Description>
    </ESH_x0020_Standard>
    <Effective_x0020_Date xmlns="64162d5b-7865-4a0f-87c1-6c7dc75ec617">2014-12-15T06:00:00+00:00</Effective_x0020_Date>
  </documentManagement>
</p:properties>
</file>

<file path=customXml/itemProps1.xml><?xml version="1.0" encoding="utf-8"?>
<ds:datastoreItem xmlns:ds="http://schemas.openxmlformats.org/officeDocument/2006/customXml" ds:itemID="{BDDDADEA-9BCF-4047-9D7D-415306EE22D8}"/>
</file>

<file path=customXml/itemProps2.xml><?xml version="1.0" encoding="utf-8"?>
<ds:datastoreItem xmlns:ds="http://schemas.openxmlformats.org/officeDocument/2006/customXml" ds:itemID="{58434C1F-0D3F-46A3-8120-38559278F9BC}"/>
</file>

<file path=customXml/itemProps3.xml><?xml version="1.0" encoding="utf-8"?>
<ds:datastoreItem xmlns:ds="http://schemas.openxmlformats.org/officeDocument/2006/customXml" ds:itemID="{75C86784-06FA-4511-866D-D875AE786138}"/>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Chemical Storage and Spill Control Rev. D</vt:lpstr>
    </vt:vector>
  </TitlesOfParts>
  <Manager>Brenda L. Harrison</Manager>
  <Company>WWF-ESH Services</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Storage and Spill Control </dc:title>
  <dc:subject>01.01 PPE STandard</dc:subject>
  <dc:creator>Christie Lotspeich</dc:creator>
  <cp:keywords/>
  <dc:description/>
  <cp:lastModifiedBy>a0868896</cp:lastModifiedBy>
  <cp:revision>3</cp:revision>
  <cp:lastPrinted>2011-11-15T16:23:00Z</cp:lastPrinted>
  <dcterms:created xsi:type="dcterms:W3CDTF">2017-06-05T20:34:00Z</dcterms:created>
  <dcterms:modified xsi:type="dcterms:W3CDTF">2018-01-02T18:26:00Z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Active</vt:lpwstr>
  </property>
  <property fmtid="{D5CDD505-2E9C-101B-9397-08002B2CF9AE}" pid="14" name="Revised Date">
    <vt:lpwstr>2014-09-16T05:00:00+00:00</vt:lpwstr>
  </property>
  <property fmtid="{D5CDD505-2E9C-101B-9397-08002B2CF9AE}" pid="15" name="Standard or Attachment?">
    <vt:lpwstr>Standard/Spec</vt:lpwstr>
  </property>
  <property fmtid="{D5CDD505-2E9C-101B-9397-08002B2CF9AE}" pid="16" name="Prgm Owner">
    <vt:lpwstr>John Willis</vt:lpwstr>
  </property>
  <property fmtid="{D5CDD505-2E9C-101B-9397-08002B2CF9AE}" pid="17" name="Program_Rqrd?">
    <vt:lpwstr>true</vt:lpwstr>
  </property>
  <property fmtid="{D5CDD505-2E9C-101B-9397-08002B2CF9AE}" pid="18" name="Std#">
    <vt:lpwstr>03.01E</vt:lpwstr>
  </property>
  <property fmtid="{D5CDD505-2E9C-101B-9397-08002B2CF9AE}" pid="19" name="Knowledge Bank">
    <vt:lpwstr>https://sps01.itg.ti.com/sites/wwf/esh/standards/Lists/KB-Chemical/AllItems.aspxChemical / Material</vt:lpwstr>
  </property>
  <property fmtid="{D5CDD505-2E9C-101B-9397-08002B2CF9AE}" pid="20" name="Effective Date">
    <vt:lpwstr>2014-12-15T06:00:00+00:00</vt:lpwstr>
  </property>
  <property fmtid="{D5CDD505-2E9C-101B-9397-08002B2CF9AE}" pid="21" name="Review Leader">
    <vt:lpwstr>John Willis</vt:lpwstr>
  </property>
  <property fmtid="{D5CDD505-2E9C-101B-9397-08002B2CF9AE}" pid="22" name="Rev. Type">
    <vt:lpwstr>Major</vt:lpwstr>
  </property>
  <property fmtid="{D5CDD505-2E9C-101B-9397-08002B2CF9AE}" pid="23" name="ContentTypeId">
    <vt:lpwstr>0x010100CFCF458C3E2E4F448576165538CC02B2</vt:lpwstr>
  </property>
  <property fmtid="{D5CDD505-2E9C-101B-9397-08002B2CF9AE}" pid="24" name="ESH Standard">
    <vt:lpwstr/>
  </property>
</Properties>
</file>